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32CF" w14:textId="684737D1" w:rsidR="00C6009E" w:rsidRPr="003E253B" w:rsidRDefault="00E61A8D" w:rsidP="003A5519">
      <w:pPr>
        <w:ind w:left="3600"/>
        <w:rPr>
          <w:rFonts w:ascii="Akzidenz-Grotesk Std Super" w:hAnsi="Akzidenz-Grotesk Std Super"/>
          <w:b/>
          <w:sz w:val="36"/>
          <w:szCs w:val="36"/>
        </w:rPr>
      </w:pPr>
      <w:r w:rsidRPr="003E253B">
        <w:rPr>
          <w:rFonts w:ascii="Akzidenz-Grotesk Std Super" w:eastAsia="Times New Roman" w:hAnsi="Akzidenz-Grotesk Std Super" w:cs="Times New Roman"/>
          <w:b/>
          <w:noProof/>
          <w:sz w:val="24"/>
          <w:szCs w:val="20"/>
          <w:lang w:eastAsia="en-GB"/>
        </w:rPr>
        <w:drawing>
          <wp:anchor distT="0" distB="0" distL="114300" distR="114300" simplePos="0" relativeHeight="251659264" behindDoc="1" locked="0" layoutInCell="1" allowOverlap="1" wp14:anchorId="02BC6ADD" wp14:editId="115C5437">
            <wp:simplePos x="0" y="0"/>
            <wp:positionH relativeFrom="margin">
              <wp:align>left</wp:align>
            </wp:positionH>
            <wp:positionV relativeFrom="margin">
              <wp:posOffset>-335665</wp:posOffset>
            </wp:positionV>
            <wp:extent cx="1864995" cy="1574800"/>
            <wp:effectExtent l="0" t="0" r="1905" b="6350"/>
            <wp:wrapSquare wrapText="bothSides"/>
            <wp:docPr id="2" name="Picture 2" descr="C:\Users\hstoate\AppData\Local\Microsoft\Windows\INetCache\Content.Word\Media Defence 2019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stoate\AppData\Local\Microsoft\Windows\INetCache\Content.Word\Media Defence 2019 logo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99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3B">
        <w:rPr>
          <w:rFonts w:ascii="Akzidenz-Grotesk Std Super" w:eastAsia="Times New Roman" w:hAnsi="Akzidenz-Grotesk Std Super" w:cs="Times New Roman"/>
          <w:b/>
          <w:bCs/>
          <w:kern w:val="36"/>
          <w:sz w:val="32"/>
          <w:szCs w:val="28"/>
          <w:lang w:eastAsia="en-GB" w:bidi="he-IL"/>
        </w:rPr>
        <w:t xml:space="preserve">Call for Consultants: </w:t>
      </w:r>
      <w:r w:rsidR="00C6009E" w:rsidRPr="003E253B">
        <w:rPr>
          <w:rFonts w:ascii="Akzidenz-Grotesk Std Super" w:hAnsi="Akzidenz-Grotesk Std Super"/>
          <w:b/>
          <w:sz w:val="32"/>
          <w:szCs w:val="32"/>
        </w:rPr>
        <w:t>Independent evaluation of ‘</w:t>
      </w:r>
      <w:r w:rsidR="003A5519" w:rsidRPr="003E253B">
        <w:rPr>
          <w:rFonts w:ascii="Akzidenz-Grotesk Std Super" w:hAnsi="Akzidenz-Grotesk Std Super"/>
          <w:b/>
          <w:sz w:val="32"/>
          <w:szCs w:val="32"/>
          <w:lang w:val="en-US"/>
        </w:rPr>
        <w:t>Countering Authoritarianism through Civil Society Empowerment in the Indo-Pacific (CAIP)</w:t>
      </w:r>
      <w:r w:rsidR="00D542F0" w:rsidRPr="003E253B">
        <w:rPr>
          <w:rFonts w:ascii="Akzidenz-Grotesk Std Super" w:hAnsi="Akzidenz-Grotesk Std Super"/>
          <w:b/>
          <w:sz w:val="32"/>
          <w:szCs w:val="32"/>
          <w:lang w:val="en-US"/>
        </w:rPr>
        <w:t xml:space="preserve"> sub-grant</w:t>
      </w:r>
      <w:r w:rsidR="00C6009E" w:rsidRPr="003E253B">
        <w:rPr>
          <w:rFonts w:ascii="Akzidenz-Grotesk Std Super" w:hAnsi="Akzidenz-Grotesk Std Super"/>
          <w:b/>
          <w:sz w:val="32"/>
          <w:szCs w:val="32"/>
        </w:rPr>
        <w:t>’ –</w:t>
      </w:r>
      <w:r w:rsidR="003A5519" w:rsidRPr="003E253B">
        <w:rPr>
          <w:rFonts w:ascii="Akzidenz-Grotesk Std Super" w:hAnsi="Akzidenz-Grotesk Std Super"/>
          <w:b/>
          <w:sz w:val="32"/>
          <w:szCs w:val="32"/>
        </w:rPr>
        <w:t xml:space="preserve"> </w:t>
      </w:r>
      <w:r w:rsidR="00C6009E" w:rsidRPr="003E253B">
        <w:rPr>
          <w:rFonts w:ascii="Akzidenz-Grotesk Std Super" w:hAnsi="Akzidenz-Grotesk Std Super"/>
          <w:b/>
          <w:sz w:val="32"/>
          <w:szCs w:val="32"/>
        </w:rPr>
        <w:t>Terms of Reference</w:t>
      </w:r>
    </w:p>
    <w:p w14:paraId="40703378" w14:textId="14BD2084" w:rsidR="00E61A8D" w:rsidRPr="003E253B" w:rsidRDefault="00E61A8D" w:rsidP="00E61A8D">
      <w:pPr>
        <w:spacing w:after="0"/>
        <w:outlineLvl w:val="0"/>
        <w:rPr>
          <w:rFonts w:ascii="Akzidenz-Grotesk Std Regular" w:eastAsia="Times New Roman" w:hAnsi="Akzidenz-Grotesk Std Regular" w:cs="Times New Roman"/>
          <w:bCs/>
          <w:kern w:val="36"/>
          <w:sz w:val="20"/>
          <w:szCs w:val="20"/>
          <w:lang w:eastAsia="en-GB" w:bidi="he-IL"/>
        </w:rPr>
      </w:pPr>
    </w:p>
    <w:p w14:paraId="2B735624" w14:textId="0AEC5F11" w:rsidR="00E61A8D" w:rsidRPr="003E253B" w:rsidRDefault="00E61A8D" w:rsidP="00E61A8D">
      <w:pPr>
        <w:pStyle w:val="NoSpacing"/>
        <w:spacing w:before="240"/>
        <w:ind w:left="2160"/>
        <w:rPr>
          <w:rFonts w:ascii="Akzidenz-Grotesk Std Super" w:eastAsia="Times New Roman" w:hAnsi="Akzidenz-Grotesk Std Super" w:cs="Times New Roman"/>
          <w:b/>
          <w:bCs/>
          <w:kern w:val="36"/>
          <w:lang w:eastAsia="en-GB" w:bidi="he-IL"/>
        </w:rPr>
      </w:pPr>
      <w:r w:rsidRPr="003E253B">
        <w:rPr>
          <w:rFonts w:ascii="Akzidenz-Grotesk Std Super" w:eastAsia="Times New Roman" w:hAnsi="Akzidenz-Grotesk Std Super" w:cs="Times New Roman"/>
          <w:b/>
          <w:bCs/>
          <w:kern w:val="36"/>
          <w:sz w:val="32"/>
          <w:szCs w:val="28"/>
          <w:lang w:eastAsia="en-GB" w:bidi="he-IL"/>
        </w:rPr>
        <w:t>Terms of Reference</w:t>
      </w:r>
    </w:p>
    <w:p w14:paraId="17A72A05" w14:textId="062503A4" w:rsidR="00F32C47" w:rsidRPr="007E1647" w:rsidRDefault="00F32C47" w:rsidP="00F32C47">
      <w:pPr>
        <w:pStyle w:val="NoSpacing"/>
        <w:rPr>
          <w:rFonts w:ascii="Akzidenz-Grotesk Std Regular" w:hAnsi="Akzidenz-Grotesk Std Regular" w:cs="Arial"/>
          <w:sz w:val="24"/>
          <w:szCs w:val="24"/>
          <w:u w:val="single"/>
        </w:rPr>
      </w:pPr>
    </w:p>
    <w:p w14:paraId="26EC21EE" w14:textId="0D0BBD0C" w:rsidR="00C6009E" w:rsidRPr="007E1647" w:rsidRDefault="00C6009E" w:rsidP="00C6009E">
      <w:pPr>
        <w:rPr>
          <w:rFonts w:ascii="Akzidenz-Grotesk Std Super" w:hAnsi="Akzidenz-Grotesk Std Super"/>
          <w:b/>
          <w:sz w:val="24"/>
          <w:szCs w:val="24"/>
        </w:rPr>
      </w:pPr>
      <w:r w:rsidRPr="007E1647">
        <w:rPr>
          <w:rFonts w:ascii="Akzidenz-Grotesk Std Super" w:hAnsi="Akzidenz-Grotesk Std Super"/>
          <w:b/>
          <w:sz w:val="24"/>
          <w:szCs w:val="24"/>
        </w:rPr>
        <w:t xml:space="preserve">About </w:t>
      </w:r>
      <w:r w:rsidR="001608B2" w:rsidRPr="007E1647">
        <w:rPr>
          <w:rFonts w:ascii="Akzidenz-Grotesk Std Super" w:hAnsi="Akzidenz-Grotesk Std Super"/>
          <w:b/>
          <w:sz w:val="24"/>
          <w:szCs w:val="24"/>
        </w:rPr>
        <w:t>Media Defence</w:t>
      </w:r>
    </w:p>
    <w:p w14:paraId="4BDE7A1B" w14:textId="23E03D49" w:rsidR="00C6009E" w:rsidRPr="003E253B" w:rsidRDefault="001608B2" w:rsidP="00C6009E">
      <w:pPr>
        <w:jc w:val="both"/>
        <w:rPr>
          <w:rFonts w:ascii="Akzidenz-Grotesk Std Regular" w:hAnsi="Akzidenz-Grotesk Std Regular" w:cs="Arial"/>
          <w:u w:val="single"/>
        </w:rPr>
      </w:pPr>
      <w:r w:rsidRPr="003E253B">
        <w:rPr>
          <w:rFonts w:ascii="Akzidenz-Grotesk Std Regular" w:hAnsi="Akzidenz-Grotesk Std Regular" w:cs="Arial"/>
          <w:u w:val="single"/>
        </w:rPr>
        <w:t>Media Defence’s</w:t>
      </w:r>
      <w:r w:rsidR="00C6009E" w:rsidRPr="003E253B">
        <w:rPr>
          <w:rFonts w:ascii="Akzidenz-Grotesk Std Regular" w:hAnsi="Akzidenz-Grotesk Std Regular" w:cs="Arial"/>
          <w:u w:val="single"/>
        </w:rPr>
        <w:t xml:space="preserve"> Vision</w:t>
      </w:r>
    </w:p>
    <w:p w14:paraId="30FF4510" w14:textId="6F7B6B5F" w:rsidR="00C6009E" w:rsidRPr="003E253B" w:rsidRDefault="00C6009E" w:rsidP="00C6009E">
      <w:pPr>
        <w:jc w:val="both"/>
        <w:rPr>
          <w:rFonts w:ascii="Akzidenz-Grotesk Std Regular" w:hAnsi="Akzidenz-Grotesk Std Regular" w:cs="Arial"/>
        </w:rPr>
      </w:pPr>
      <w:r w:rsidRPr="003E253B">
        <w:rPr>
          <w:rFonts w:ascii="Akzidenz-Grotesk Std Regular" w:hAnsi="Akzidenz-Grotesk Std Regular" w:cs="Arial"/>
        </w:rPr>
        <w:t>A world where journalists no longer face legal challenges that threaten their ability to report freely and independently on issues of public interest, allowing citizens to be better informed</w:t>
      </w:r>
      <w:r w:rsidR="008F5C09">
        <w:rPr>
          <w:rFonts w:ascii="Akzidenz-Grotesk Std Regular" w:hAnsi="Akzidenz-Grotesk Std Regular" w:cs="Arial"/>
        </w:rPr>
        <w:t xml:space="preserve"> and</w:t>
      </w:r>
      <w:r w:rsidRPr="003E253B">
        <w:rPr>
          <w:rFonts w:ascii="Akzidenz-Grotesk Std Regular" w:hAnsi="Akzidenz-Grotesk Std Regular" w:cs="Arial"/>
        </w:rPr>
        <w:t xml:space="preserve"> able to hold those in power to account.</w:t>
      </w:r>
    </w:p>
    <w:p w14:paraId="4C0935D4" w14:textId="734E87B3" w:rsidR="00C6009E" w:rsidRPr="003E253B" w:rsidRDefault="001608B2" w:rsidP="00C6009E">
      <w:pPr>
        <w:jc w:val="both"/>
        <w:rPr>
          <w:rFonts w:ascii="Akzidenz-Grotesk Std Regular" w:hAnsi="Akzidenz-Grotesk Std Regular" w:cs="Arial"/>
          <w:u w:val="single"/>
        </w:rPr>
      </w:pPr>
      <w:r w:rsidRPr="003E253B">
        <w:rPr>
          <w:rFonts w:ascii="Akzidenz-Grotesk Std Regular" w:hAnsi="Akzidenz-Grotesk Std Regular" w:cs="Arial"/>
          <w:u w:val="single"/>
        </w:rPr>
        <w:t xml:space="preserve">Media Defence’s </w:t>
      </w:r>
      <w:r w:rsidR="00C6009E" w:rsidRPr="003E253B">
        <w:rPr>
          <w:rFonts w:ascii="Akzidenz-Grotesk Std Regular" w:hAnsi="Akzidenz-Grotesk Std Regular" w:cs="Arial"/>
          <w:u w:val="single"/>
        </w:rPr>
        <w:t>M</w:t>
      </w:r>
      <w:r w:rsidR="008F5C09">
        <w:rPr>
          <w:rFonts w:ascii="Akzidenz-Grotesk Std Regular" w:hAnsi="Akzidenz-Grotesk Std Regular" w:cs="Arial"/>
          <w:u w:val="single"/>
        </w:rPr>
        <w:t>andate</w:t>
      </w:r>
    </w:p>
    <w:p w14:paraId="71F03347" w14:textId="496F45C2" w:rsidR="00C6009E" w:rsidRPr="003E253B" w:rsidRDefault="00C6009E" w:rsidP="00C6009E">
      <w:pPr>
        <w:jc w:val="both"/>
        <w:rPr>
          <w:rFonts w:ascii="Akzidenz-Grotesk Std Regular" w:hAnsi="Akzidenz-Grotesk Std Regular" w:cs="Arial"/>
        </w:rPr>
      </w:pPr>
      <w:r w:rsidRPr="003E253B">
        <w:rPr>
          <w:rFonts w:ascii="Akzidenz-Grotesk Std Regular" w:hAnsi="Akzidenz-Grotesk Std Regular" w:cs="Arial"/>
        </w:rPr>
        <w:t>To ensure legal protection of journalists and media workers under threat for reporting on issues of public interest, in the belief that freedom of expression is essential to hold those with power to account.</w:t>
      </w:r>
      <w:r w:rsidRPr="003E253B">
        <w:rPr>
          <w:rFonts w:ascii="Akzidenz-Grotesk Std Regular" w:hAnsi="Akzidenz-Grotesk Std Regular" w:cs="Arial"/>
        </w:rPr>
        <w:cr/>
      </w:r>
    </w:p>
    <w:p w14:paraId="57BA7476" w14:textId="588526B1" w:rsidR="00702C96" w:rsidRPr="007E1647" w:rsidRDefault="00C01929" w:rsidP="00C6009E">
      <w:pPr>
        <w:pStyle w:val="NoSpacing"/>
        <w:rPr>
          <w:rFonts w:ascii="Akzidenz-Grotesk Std Regular" w:hAnsi="Akzidenz-Grotesk Std Regular" w:cs="Arial"/>
          <w:b/>
          <w:sz w:val="24"/>
          <w:szCs w:val="24"/>
        </w:rPr>
      </w:pPr>
      <w:r w:rsidRPr="007E1647">
        <w:rPr>
          <w:rFonts w:ascii="Akzidenz-Grotesk Std Regular" w:hAnsi="Akzidenz-Grotesk Std Regular" w:cs="Arial"/>
          <w:b/>
          <w:sz w:val="24"/>
          <w:szCs w:val="24"/>
        </w:rPr>
        <w:t>Purpose of the consultancy</w:t>
      </w:r>
      <w:r w:rsidR="00702C96" w:rsidRPr="007E1647">
        <w:rPr>
          <w:rFonts w:ascii="Akzidenz-Grotesk Std Regular" w:hAnsi="Akzidenz-Grotesk Std Regular" w:cs="Arial"/>
          <w:b/>
          <w:sz w:val="24"/>
          <w:szCs w:val="24"/>
        </w:rPr>
        <w:t xml:space="preserve"> contract</w:t>
      </w:r>
    </w:p>
    <w:p w14:paraId="163E58FA" w14:textId="77777777" w:rsidR="00702C96" w:rsidRPr="003E253B" w:rsidRDefault="00702C96" w:rsidP="00C6009E">
      <w:pPr>
        <w:pStyle w:val="NoSpacing"/>
        <w:ind w:left="1080"/>
        <w:rPr>
          <w:rFonts w:ascii="Akzidenz-Grotesk Std Regular" w:hAnsi="Akzidenz-Grotesk Std Regular" w:cs="Arial"/>
          <w:bCs/>
        </w:rPr>
      </w:pPr>
    </w:p>
    <w:p w14:paraId="0BCB3D3B" w14:textId="315A79B8" w:rsidR="00D542F0" w:rsidRDefault="00D404DC" w:rsidP="00C6009E">
      <w:pPr>
        <w:jc w:val="both"/>
        <w:rPr>
          <w:rFonts w:ascii="Akzidenz-Grotesk Std Regular" w:hAnsi="Akzidenz-Grotesk Std Regular" w:cs="Arial"/>
          <w:color w:val="000000" w:themeColor="text1"/>
        </w:rPr>
      </w:pPr>
      <w:r>
        <w:rPr>
          <w:rFonts w:ascii="Akzidenz-Grotesk Std Regular" w:hAnsi="Akzidenz-Grotesk Std Regular" w:cs="Arial"/>
          <w:color w:val="000000" w:themeColor="text1"/>
        </w:rPr>
        <w:t>M</w:t>
      </w:r>
      <w:r w:rsidR="00FC64B3">
        <w:rPr>
          <w:rFonts w:ascii="Akzidenz-Grotesk Std Regular" w:hAnsi="Akzidenz-Grotesk Std Regular" w:cs="Arial"/>
          <w:color w:val="000000" w:themeColor="text1"/>
        </w:rPr>
        <w:t xml:space="preserve">edia </w:t>
      </w:r>
      <w:r>
        <w:rPr>
          <w:rFonts w:ascii="Akzidenz-Grotesk Std Regular" w:hAnsi="Akzidenz-Grotesk Std Regular" w:cs="Arial"/>
          <w:color w:val="000000" w:themeColor="text1"/>
        </w:rPr>
        <w:t>D</w:t>
      </w:r>
      <w:r w:rsidR="00FC64B3">
        <w:rPr>
          <w:rFonts w:ascii="Akzidenz-Grotesk Std Regular" w:hAnsi="Akzidenz-Grotesk Std Regular" w:cs="Arial"/>
          <w:color w:val="000000" w:themeColor="text1"/>
        </w:rPr>
        <w:t>efence</w:t>
      </w:r>
      <w:r w:rsidRPr="003E253B">
        <w:rPr>
          <w:rFonts w:ascii="Akzidenz-Grotesk Std Regular" w:hAnsi="Akzidenz-Grotesk Std Regular" w:cs="Arial"/>
          <w:color w:val="000000" w:themeColor="text1"/>
        </w:rPr>
        <w:t xml:space="preserve"> </w:t>
      </w:r>
      <w:r w:rsidR="00C6009E" w:rsidRPr="003E253B">
        <w:rPr>
          <w:rFonts w:ascii="Akzidenz-Grotesk Std Regular" w:hAnsi="Akzidenz-Grotesk Std Regular" w:cs="Arial"/>
          <w:color w:val="000000" w:themeColor="text1"/>
        </w:rPr>
        <w:t xml:space="preserve">is </w:t>
      </w:r>
      <w:r w:rsidR="00C6009E" w:rsidRPr="003E253B">
        <w:rPr>
          <w:rFonts w:ascii="Akzidenz-Grotesk Std Regular" w:hAnsi="Akzidenz-Grotesk Std Regular" w:cs="Arial"/>
          <w:color w:val="000000" w:themeColor="text1"/>
        </w:rPr>
        <w:t xml:space="preserve">looking to engage an experienced evaluation consultant to carry out </w:t>
      </w:r>
      <w:r w:rsidR="003C5C5B" w:rsidRPr="003E253B">
        <w:rPr>
          <w:rFonts w:ascii="Akzidenz-Grotesk Std Regular" w:hAnsi="Akzidenz-Grotesk Std Regular" w:cs="Arial"/>
          <w:color w:val="000000" w:themeColor="text1"/>
        </w:rPr>
        <w:t>a</w:t>
      </w:r>
      <w:r w:rsidR="00C6009E" w:rsidRPr="003E253B">
        <w:rPr>
          <w:rFonts w:ascii="Akzidenz-Grotesk Std Regular" w:hAnsi="Akzidenz-Grotesk Std Regular" w:cs="Arial"/>
          <w:color w:val="000000" w:themeColor="text1"/>
        </w:rPr>
        <w:t xml:space="preserve"> final evaluation of our</w:t>
      </w:r>
      <w:r w:rsidR="00D542F0" w:rsidRPr="003E253B">
        <w:rPr>
          <w:rFonts w:ascii="Akzidenz-Grotesk Std Regular" w:hAnsi="Akzidenz-Grotesk Std Regular" w:cs="Arial"/>
          <w:color w:val="000000" w:themeColor="text1"/>
        </w:rPr>
        <w:t xml:space="preserve"> sub-</w:t>
      </w:r>
      <w:r w:rsidR="008F5C09">
        <w:rPr>
          <w:rFonts w:ascii="Akzidenz-Grotesk Std Regular" w:hAnsi="Akzidenz-Grotesk Std Regular" w:cs="Arial"/>
          <w:color w:val="000000" w:themeColor="text1"/>
        </w:rPr>
        <w:t>award</w:t>
      </w:r>
      <w:r w:rsidR="00A00754">
        <w:rPr>
          <w:rFonts w:ascii="Akzidenz-Grotesk Std Regular" w:hAnsi="Akzidenz-Grotesk Std Regular" w:cs="Arial"/>
          <w:color w:val="000000" w:themeColor="text1"/>
        </w:rPr>
        <w:t>,</w:t>
      </w:r>
      <w:r w:rsidR="00D542F0" w:rsidRPr="003E253B">
        <w:rPr>
          <w:rFonts w:ascii="Akzidenz-Grotesk Std Regular" w:hAnsi="Akzidenz-Grotesk Std Regular" w:cs="Arial"/>
          <w:color w:val="000000" w:themeColor="text1"/>
        </w:rPr>
        <w:t xml:space="preserve"> which was part of the International Centre for Not-For-Profit Law</w:t>
      </w:r>
      <w:r w:rsidR="007F0EF8">
        <w:rPr>
          <w:rFonts w:ascii="Akzidenz-Grotesk Std Regular" w:hAnsi="Akzidenz-Grotesk Std Regular" w:cs="Arial"/>
          <w:color w:val="000000" w:themeColor="text1"/>
        </w:rPr>
        <w:t xml:space="preserve"> (ICNL)</w:t>
      </w:r>
      <w:r w:rsidR="004378F8">
        <w:rPr>
          <w:rFonts w:ascii="Akzidenz-Grotesk Std Regular" w:hAnsi="Akzidenz-Grotesk Std Regular" w:cs="Arial"/>
          <w:color w:val="000000" w:themeColor="text1"/>
        </w:rPr>
        <w:t>’s</w:t>
      </w:r>
      <w:r w:rsidR="00D542F0" w:rsidRPr="003E253B">
        <w:rPr>
          <w:rFonts w:ascii="Akzidenz-Grotesk Std Regular" w:hAnsi="Akzidenz-Grotesk Std Regular" w:cs="Arial"/>
          <w:color w:val="000000" w:themeColor="text1"/>
        </w:rPr>
        <w:t xml:space="preserve"> </w:t>
      </w:r>
      <w:r w:rsidR="004378F8">
        <w:rPr>
          <w:rFonts w:ascii="Akzidenz-Grotesk Std Regular" w:hAnsi="Akzidenz-Grotesk Std Regular" w:cs="Arial"/>
          <w:color w:val="000000" w:themeColor="text1"/>
        </w:rPr>
        <w:t>‘</w:t>
      </w:r>
      <w:r w:rsidR="004378F8" w:rsidRPr="004378F8">
        <w:rPr>
          <w:rFonts w:ascii="Akzidenz-Grotesk Std Regular" w:hAnsi="Akzidenz-Grotesk Std Regular" w:cs="Arial"/>
          <w:color w:val="000000" w:themeColor="text1"/>
        </w:rPr>
        <w:t>Countering Authoritarianism through Civil Society Empowerment in the Indo-Pacific</w:t>
      </w:r>
      <w:r w:rsidR="004378F8">
        <w:rPr>
          <w:rFonts w:ascii="Akzidenz-Grotesk Std Regular" w:hAnsi="Akzidenz-Grotesk Std Regular" w:cs="Arial"/>
          <w:color w:val="000000" w:themeColor="text1"/>
        </w:rPr>
        <w:t>’</w:t>
      </w:r>
      <w:r w:rsidR="004378F8" w:rsidRPr="004378F8">
        <w:rPr>
          <w:rFonts w:ascii="Akzidenz-Grotesk Std Regular" w:hAnsi="Akzidenz-Grotesk Std Regular" w:cs="Arial"/>
          <w:color w:val="000000" w:themeColor="text1"/>
        </w:rPr>
        <w:t xml:space="preserve"> (CAIP) project</w:t>
      </w:r>
      <w:r w:rsidR="004378F8">
        <w:rPr>
          <w:rFonts w:ascii="Akzidenz-Grotesk Std Regular" w:hAnsi="Akzidenz-Grotesk Std Regular" w:cs="Arial"/>
          <w:color w:val="000000" w:themeColor="text1"/>
        </w:rPr>
        <w:t>.</w:t>
      </w:r>
    </w:p>
    <w:p w14:paraId="6F5CCF61" w14:textId="77777777" w:rsidR="004378F8" w:rsidRPr="003E253B" w:rsidRDefault="004378F8" w:rsidP="00C6009E">
      <w:pPr>
        <w:jc w:val="both"/>
        <w:rPr>
          <w:rFonts w:ascii="Akzidenz-Grotesk Std Regular" w:hAnsi="Akzidenz-Grotesk Std Regular" w:cs="Arial"/>
          <w:color w:val="000000" w:themeColor="text1"/>
        </w:rPr>
      </w:pPr>
    </w:p>
    <w:p w14:paraId="5BF722E2" w14:textId="713D63EE" w:rsidR="00C6009E" w:rsidRPr="007E1647" w:rsidRDefault="00C6009E" w:rsidP="00C6009E">
      <w:pPr>
        <w:jc w:val="both"/>
        <w:rPr>
          <w:rFonts w:ascii="Akzidenz-Grotesk Std Regular" w:hAnsi="Akzidenz-Grotesk Std Regular" w:cs="Arial"/>
          <w:b/>
          <w:sz w:val="24"/>
          <w:szCs w:val="24"/>
        </w:rPr>
      </w:pPr>
      <w:r w:rsidRPr="007E1647">
        <w:rPr>
          <w:rFonts w:ascii="Akzidenz-Grotesk Std Regular" w:hAnsi="Akzidenz-Grotesk Std Regular" w:cs="Arial"/>
          <w:b/>
          <w:sz w:val="24"/>
          <w:szCs w:val="24"/>
        </w:rPr>
        <w:t>The Project</w:t>
      </w:r>
    </w:p>
    <w:p w14:paraId="5DC7E4F1" w14:textId="25537B3B" w:rsidR="00D542F0" w:rsidRPr="00627A8F" w:rsidRDefault="00C6009E" w:rsidP="00C6009E">
      <w:pPr>
        <w:jc w:val="both"/>
        <w:rPr>
          <w:rFonts w:ascii="Akzidenz-Grotesk Std Regular" w:hAnsi="Akzidenz-Grotesk Std Regular" w:cs="Arial"/>
          <w:highlight w:val="yellow"/>
        </w:rPr>
      </w:pPr>
      <w:r w:rsidRPr="00627A8F">
        <w:rPr>
          <w:rFonts w:ascii="Akzidenz-Grotesk Std Regular" w:hAnsi="Akzidenz-Grotesk Std Regular" w:cs="Arial"/>
        </w:rPr>
        <w:t>M</w:t>
      </w:r>
      <w:r w:rsidR="00D542F0" w:rsidRPr="00627A8F">
        <w:rPr>
          <w:rFonts w:ascii="Akzidenz-Grotesk Std Regular" w:hAnsi="Akzidenz-Grotesk Std Regular" w:cs="Arial"/>
        </w:rPr>
        <w:t xml:space="preserve">edia Defence is acting as a sub-grantee as part of ICNL’s </w:t>
      </w:r>
      <w:r w:rsidR="00D542F0" w:rsidRPr="00627A8F">
        <w:rPr>
          <w:rFonts w:ascii="Akzidenz-Grotesk Std Regular" w:hAnsi="Akzidenz-Grotesk Std Regular"/>
        </w:rPr>
        <w:t>CAIP project</w:t>
      </w:r>
      <w:r w:rsidR="003E253B" w:rsidRPr="00627A8F">
        <w:rPr>
          <w:rFonts w:ascii="Akzidenz-Grotesk Std Regular" w:hAnsi="Akzidenz-Grotesk Std Regular"/>
        </w:rPr>
        <w:t>. The aim of the project is to empower civil society to respond to authoritarian measures enacted by governments throughout the Indo-Pacific region in response to COVID-19, by promoting international standards around emergency measures, free expression, independent media, access to information, and other fundamental freedoms including public participation and free assembly.</w:t>
      </w:r>
    </w:p>
    <w:p w14:paraId="18B57EF3" w14:textId="77777777" w:rsidR="00AD650C" w:rsidRDefault="003E253B" w:rsidP="003E253B">
      <w:pPr>
        <w:jc w:val="both"/>
        <w:rPr>
          <w:rFonts w:ascii="Akzidenz-Grotesk Std Regular" w:hAnsi="Akzidenz-Grotesk Std Regular" w:cs="Arial"/>
          <w:lang w:val="en-US"/>
        </w:rPr>
      </w:pPr>
      <w:r w:rsidRPr="00627A8F">
        <w:rPr>
          <w:rFonts w:ascii="Akzidenz-Grotesk Std Regular" w:hAnsi="Akzidenz-Grotesk Std Regular" w:cs="Arial"/>
          <w:lang w:val="en-US"/>
        </w:rPr>
        <w:t xml:space="preserve">Media </w:t>
      </w:r>
      <w:proofErr w:type="spellStart"/>
      <w:r w:rsidRPr="00627A8F">
        <w:rPr>
          <w:rFonts w:ascii="Akzidenz-Grotesk Std Regular" w:hAnsi="Akzidenz-Grotesk Std Regular" w:cs="Arial"/>
          <w:lang w:val="en-US"/>
        </w:rPr>
        <w:t>Defence’s</w:t>
      </w:r>
      <w:proofErr w:type="spellEnd"/>
      <w:r w:rsidRPr="00627A8F">
        <w:rPr>
          <w:rFonts w:ascii="Akzidenz-Grotesk Std Regular" w:hAnsi="Akzidenz-Grotesk Std Regular" w:cs="Arial"/>
          <w:lang w:val="en-US"/>
        </w:rPr>
        <w:t xml:space="preserve"> contribution to CAIP comprises </w:t>
      </w:r>
      <w:r w:rsidR="00AD650C">
        <w:rPr>
          <w:rFonts w:ascii="Akzidenz-Grotesk Std Regular" w:hAnsi="Akzidenz-Grotesk Std Regular" w:cs="Arial"/>
          <w:lang w:val="en-US"/>
        </w:rPr>
        <w:t xml:space="preserve">of </w:t>
      </w:r>
      <w:r w:rsidRPr="00627A8F">
        <w:rPr>
          <w:rFonts w:ascii="Akzidenz-Grotesk Std Regular" w:hAnsi="Akzidenz-Grotesk Std Regular" w:cs="Arial"/>
          <w:lang w:val="en-US"/>
        </w:rPr>
        <w:t xml:space="preserve">four components: </w:t>
      </w:r>
    </w:p>
    <w:p w14:paraId="2C1A5D31" w14:textId="77777777" w:rsidR="00AD650C" w:rsidRDefault="003E253B" w:rsidP="003E253B">
      <w:pPr>
        <w:jc w:val="both"/>
        <w:rPr>
          <w:rFonts w:ascii="Akzidenz-Grotesk Std Regular" w:hAnsi="Akzidenz-Grotesk Std Regular" w:cs="Arial"/>
          <w:lang w:val="en-US"/>
        </w:rPr>
      </w:pPr>
      <w:r w:rsidRPr="00627A8F">
        <w:rPr>
          <w:rFonts w:ascii="Akzidenz-Grotesk Std Regular" w:hAnsi="Akzidenz-Grotesk Std Regular" w:cs="Arial"/>
          <w:lang w:val="en-US"/>
        </w:rPr>
        <w:t xml:space="preserve">1) joint hosting with ICNL of specialist freedom of expression trainings to build the capacity of lawyers to defend freedom of expression; </w:t>
      </w:r>
    </w:p>
    <w:p w14:paraId="6AF21930" w14:textId="77777777" w:rsidR="00AD650C" w:rsidRDefault="003E253B" w:rsidP="003E253B">
      <w:pPr>
        <w:jc w:val="both"/>
        <w:rPr>
          <w:rFonts w:ascii="Akzidenz-Grotesk Std Regular" w:hAnsi="Akzidenz-Grotesk Std Regular" w:cs="Arial"/>
          <w:lang w:val="en-US"/>
        </w:rPr>
      </w:pPr>
      <w:r w:rsidRPr="00627A8F">
        <w:rPr>
          <w:rFonts w:ascii="Akzidenz-Grotesk Std Regular" w:hAnsi="Akzidenz-Grotesk Std Regular" w:cs="Arial"/>
          <w:lang w:val="en-US"/>
        </w:rPr>
        <w:t xml:space="preserve">2) providing funding and pro bono support to emergency legal defense cases to ensure high quality legal defense; </w:t>
      </w:r>
    </w:p>
    <w:p w14:paraId="45970BCB" w14:textId="77777777" w:rsidR="00AD650C" w:rsidRDefault="003E253B" w:rsidP="003E253B">
      <w:pPr>
        <w:jc w:val="both"/>
        <w:rPr>
          <w:rFonts w:ascii="Akzidenz-Grotesk Std Regular" w:hAnsi="Akzidenz-Grotesk Std Regular" w:cs="Arial"/>
          <w:lang w:val="en-US"/>
        </w:rPr>
      </w:pPr>
      <w:r w:rsidRPr="00627A8F">
        <w:rPr>
          <w:rFonts w:ascii="Akzidenz-Grotesk Std Regular" w:hAnsi="Akzidenz-Grotesk Std Regular" w:cs="Arial"/>
          <w:lang w:val="en-US"/>
        </w:rPr>
        <w:lastRenderedPageBreak/>
        <w:t xml:space="preserve">3) granting sub-awards to civil society organizations with a view to improving local level access to legal assistance for freedom of expression; and </w:t>
      </w:r>
    </w:p>
    <w:p w14:paraId="1214CA28" w14:textId="4493205A" w:rsidR="00D542F0" w:rsidRPr="00AD650C" w:rsidRDefault="003E253B" w:rsidP="00C6009E">
      <w:pPr>
        <w:jc w:val="both"/>
        <w:rPr>
          <w:rFonts w:ascii="Akzidenz-Grotesk Std Regular" w:hAnsi="Akzidenz-Grotesk Std Regular" w:cs="Arial"/>
          <w:lang w:val="en-US"/>
        </w:rPr>
      </w:pPr>
      <w:r w:rsidRPr="00627A8F">
        <w:rPr>
          <w:rFonts w:ascii="Akzidenz-Grotesk Std Regular" w:hAnsi="Akzidenz-Grotesk Std Regular" w:cs="Arial"/>
          <w:lang w:val="en-US"/>
        </w:rPr>
        <w:t xml:space="preserve">4) </w:t>
      </w:r>
      <w:r w:rsidRPr="00627A8F">
        <w:rPr>
          <w:rFonts w:ascii="Akzidenz-Grotesk Std Regular" w:hAnsi="Akzidenz-Grotesk Std Regular" w:cs="Arial"/>
          <w:bCs/>
          <w:lang w:val="en-US"/>
        </w:rPr>
        <w:t xml:space="preserve">administering financial and </w:t>
      </w:r>
      <w:r w:rsidRPr="00627A8F">
        <w:rPr>
          <w:rFonts w:ascii="Akzidenz-Grotesk Std Regular" w:hAnsi="Akzidenz-Grotesk Std Regular" w:cs="Arial"/>
          <w:lang w:val="en-US"/>
        </w:rPr>
        <w:t>pro bono support to assist teams of local lawyers and civil society organizations to take high-impact cases to domestic</w:t>
      </w:r>
      <w:r w:rsidR="00AD650C">
        <w:rPr>
          <w:rFonts w:ascii="Akzidenz-Grotesk Std Regular" w:hAnsi="Akzidenz-Grotesk Std Regular" w:cs="Arial"/>
          <w:lang w:val="en-US"/>
        </w:rPr>
        <w:t>,</w:t>
      </w:r>
      <w:r w:rsidRPr="00627A8F">
        <w:rPr>
          <w:rFonts w:ascii="Akzidenz-Grotesk Std Regular" w:hAnsi="Akzidenz-Grotesk Std Regular" w:cs="Arial"/>
          <w:lang w:val="en-US"/>
        </w:rPr>
        <w:t xml:space="preserve"> constitutional and supreme courts in influential jurisdictions.</w:t>
      </w:r>
    </w:p>
    <w:p w14:paraId="2D875631" w14:textId="179D2603" w:rsidR="003E253B" w:rsidRPr="00697A35" w:rsidRDefault="00627A8F" w:rsidP="00697A35">
      <w:pPr>
        <w:jc w:val="both"/>
        <w:rPr>
          <w:rFonts w:ascii="Akzidenz-Grotesk Std Regular" w:eastAsia="Times New Roman" w:hAnsi="Akzidenz-Grotesk Std Regular" w:cs="Arial"/>
          <w:bCs/>
          <w:color w:val="000000" w:themeColor="text1"/>
          <w:lang w:eastAsia="en-GB"/>
        </w:rPr>
      </w:pPr>
      <w:r w:rsidRPr="00627A8F">
        <w:rPr>
          <w:rFonts w:ascii="Akzidenz-Grotesk Std Regular" w:eastAsia="Times New Roman" w:hAnsi="Akzidenz-Grotesk Std Regular" w:cs="Arial"/>
          <w:bCs/>
          <w:color w:val="000000" w:themeColor="text1"/>
          <w:lang w:eastAsia="en-GB"/>
        </w:rPr>
        <w:t>Th</w:t>
      </w:r>
      <w:r w:rsidR="00AD650C">
        <w:rPr>
          <w:rFonts w:ascii="Akzidenz-Grotesk Std Regular" w:eastAsia="Times New Roman" w:hAnsi="Akzidenz-Grotesk Std Regular" w:cs="Arial"/>
          <w:bCs/>
          <w:color w:val="000000" w:themeColor="text1"/>
          <w:lang w:eastAsia="en-GB"/>
        </w:rPr>
        <w:t>ese activities were implemented in order</w:t>
      </w:r>
      <w:r w:rsidRPr="00627A8F">
        <w:rPr>
          <w:rFonts w:ascii="Akzidenz-Grotesk Std Regular" w:eastAsia="Times New Roman" w:hAnsi="Akzidenz-Grotesk Std Regular" w:cs="Arial"/>
          <w:bCs/>
          <w:color w:val="000000" w:themeColor="text1"/>
          <w:lang w:eastAsia="en-GB"/>
        </w:rPr>
        <w:t xml:space="preserve"> to meet the following ICNL objective:</w:t>
      </w:r>
      <w:r w:rsidR="00FC64B3">
        <w:rPr>
          <w:rFonts w:ascii="Akzidenz-Grotesk Std Regular" w:hAnsi="Akzidenz-Grotesk Std Regular" w:cs="Arial"/>
          <w:lang w:val="en-US"/>
        </w:rPr>
        <w:t xml:space="preserve"> “</w:t>
      </w:r>
      <w:r w:rsidR="003E253B" w:rsidRPr="00697A35">
        <w:rPr>
          <w:rFonts w:ascii="Akzidenz-Grotesk Std Regular" w:hAnsi="Akzidenz-Grotesk Std Regular" w:cs="Arial"/>
          <w:lang w:val="en-US"/>
        </w:rPr>
        <w:t>Empower lawyers, journalists, and civil society to respond to legal and regulatory threats emerging or intensifying as a result of COVID-19, and engage in effective reform and advocacy to respond to these developments.</w:t>
      </w:r>
      <w:r w:rsidR="00FC64B3">
        <w:rPr>
          <w:rFonts w:ascii="Akzidenz-Grotesk Std Regular" w:hAnsi="Akzidenz-Grotesk Std Regular" w:cs="Arial"/>
          <w:lang w:val="en-US"/>
        </w:rPr>
        <w:t>”</w:t>
      </w:r>
    </w:p>
    <w:p w14:paraId="60DA7E39" w14:textId="77777777" w:rsidR="007E1647" w:rsidRDefault="007E1647" w:rsidP="00C6009E">
      <w:pPr>
        <w:pStyle w:val="NoSpacing"/>
        <w:jc w:val="both"/>
        <w:rPr>
          <w:rFonts w:ascii="Arial Black" w:hAnsi="Arial Black" w:cs="Arial"/>
          <w:b/>
        </w:rPr>
      </w:pPr>
    </w:p>
    <w:p w14:paraId="016FB6CD" w14:textId="4B4B3ABB" w:rsidR="00C6009E" w:rsidRDefault="00C6009E" w:rsidP="000709F1">
      <w:pPr>
        <w:pStyle w:val="NoSpacing"/>
        <w:jc w:val="both"/>
        <w:rPr>
          <w:rFonts w:ascii="Akzidenz-Grotesk Std Regular" w:hAnsi="Akzidenz-Grotesk Std Regular" w:cs="Arial"/>
          <w:b/>
          <w:sz w:val="24"/>
          <w:szCs w:val="24"/>
        </w:rPr>
      </w:pPr>
      <w:r w:rsidRPr="007E1647">
        <w:rPr>
          <w:rFonts w:ascii="Akzidenz-Grotesk Std Regular" w:hAnsi="Akzidenz-Grotesk Std Regular" w:cs="Arial"/>
          <w:b/>
          <w:sz w:val="24"/>
          <w:szCs w:val="24"/>
        </w:rPr>
        <w:t xml:space="preserve">Evaluation Requirements </w:t>
      </w:r>
    </w:p>
    <w:p w14:paraId="2018EEC7" w14:textId="77777777" w:rsidR="000709F1" w:rsidRPr="000709F1" w:rsidRDefault="000709F1" w:rsidP="000709F1">
      <w:pPr>
        <w:pStyle w:val="NoSpacing"/>
        <w:jc w:val="both"/>
        <w:rPr>
          <w:rFonts w:ascii="Akzidenz-Grotesk Std Regular" w:hAnsi="Akzidenz-Grotesk Std Regular" w:cs="Arial"/>
          <w:b/>
          <w:sz w:val="24"/>
          <w:szCs w:val="24"/>
        </w:rPr>
      </w:pPr>
    </w:p>
    <w:p w14:paraId="4D747E7C" w14:textId="14EC5FAC" w:rsidR="00C6009E" w:rsidRPr="007E1647" w:rsidRDefault="00C6009E" w:rsidP="00C6009E">
      <w:pPr>
        <w:jc w:val="both"/>
        <w:rPr>
          <w:rFonts w:ascii="Akzidenz-Grotesk Std Regular" w:hAnsi="Akzidenz-Grotesk Std Regular" w:cs="Arial"/>
          <w:b/>
        </w:rPr>
      </w:pPr>
      <w:r w:rsidRPr="007E1647">
        <w:rPr>
          <w:rFonts w:ascii="Akzidenz-Grotesk Std Regular" w:hAnsi="Akzidenz-Grotesk Std Regular" w:cs="Arial"/>
          <w:b/>
        </w:rPr>
        <w:t>Phase 1: Evaluation planning and set up</w:t>
      </w:r>
      <w:r w:rsidR="00AD650C">
        <w:rPr>
          <w:rFonts w:ascii="Akzidenz-Grotesk Std Regular" w:hAnsi="Akzidenz-Grotesk Std Regular" w:cs="Arial"/>
          <w:b/>
        </w:rPr>
        <w:t xml:space="preserve"> (September 2022)</w:t>
      </w:r>
    </w:p>
    <w:p w14:paraId="09253D48" w14:textId="4B1F147D" w:rsidR="00C6009E" w:rsidRPr="007E1647" w:rsidRDefault="00C6009E" w:rsidP="00C6009E">
      <w:pPr>
        <w:pStyle w:val="ListParagraph"/>
        <w:numPr>
          <w:ilvl w:val="0"/>
          <w:numId w:val="22"/>
        </w:numPr>
        <w:spacing w:line="256" w:lineRule="auto"/>
        <w:jc w:val="both"/>
        <w:rPr>
          <w:rStyle w:val="CommentReference"/>
          <w:rFonts w:ascii="Akzidenz-Grotesk Std Regular" w:hAnsi="Akzidenz-Grotesk Std Regular" w:cs="Arial"/>
          <w:color w:val="000000" w:themeColor="text1"/>
          <w:sz w:val="22"/>
          <w:szCs w:val="22"/>
        </w:rPr>
      </w:pPr>
      <w:r w:rsidRPr="007E1647">
        <w:rPr>
          <w:rFonts w:ascii="Akzidenz-Grotesk Std Regular" w:hAnsi="Akzidenz-Grotesk Std Regular" w:cs="Arial"/>
        </w:rPr>
        <w:t xml:space="preserve">Develop a capacity building measurement framework to measure organisational growth </w:t>
      </w:r>
      <w:r w:rsidR="007F0EF8">
        <w:rPr>
          <w:rFonts w:ascii="Akzidenz-Grotesk Std Regular" w:hAnsi="Akzidenz-Grotesk Std Regular" w:cs="Arial"/>
        </w:rPr>
        <w:t>of</w:t>
      </w:r>
      <w:r w:rsidRPr="007E1647">
        <w:rPr>
          <w:rFonts w:ascii="Akzidenz-Grotesk Std Regular" w:hAnsi="Akzidenz-Grotesk Std Regular" w:cs="Arial"/>
        </w:rPr>
        <w:t xml:space="preserve"> </w:t>
      </w:r>
      <w:r w:rsidR="00FC64B3">
        <w:rPr>
          <w:rFonts w:ascii="Akzidenz-Grotesk Std Regular" w:hAnsi="Akzidenz-Grotesk Std Regular" w:cs="Arial"/>
          <w:color w:val="000000" w:themeColor="text1"/>
        </w:rPr>
        <w:t>civil society organisations that have received a sub-award;</w:t>
      </w:r>
    </w:p>
    <w:p w14:paraId="74ACABA6" w14:textId="0261D26F" w:rsidR="00C6009E" w:rsidRPr="007E1647" w:rsidRDefault="00C6009E" w:rsidP="00C6009E">
      <w:pPr>
        <w:pStyle w:val="ListParagraph"/>
        <w:numPr>
          <w:ilvl w:val="0"/>
          <w:numId w:val="22"/>
        </w:numPr>
        <w:spacing w:line="256" w:lineRule="auto"/>
        <w:jc w:val="both"/>
        <w:rPr>
          <w:rFonts w:ascii="Akzidenz-Grotesk Std Regular" w:hAnsi="Akzidenz-Grotesk Std Regular" w:cs="Arial"/>
        </w:rPr>
      </w:pPr>
      <w:r w:rsidRPr="007E1647">
        <w:rPr>
          <w:rFonts w:ascii="Akzidenz-Grotesk Std Regular" w:hAnsi="Akzidenz-Grotesk Std Regular" w:cs="Arial"/>
          <w:color w:val="000000" w:themeColor="text1"/>
        </w:rPr>
        <w:t>Using the existing project log frame, evaluation narrative and other relevant documents</w:t>
      </w:r>
      <w:r w:rsidR="007F0EF8">
        <w:rPr>
          <w:rFonts w:ascii="Akzidenz-Grotesk Std Regular" w:hAnsi="Akzidenz-Grotesk Std Regular" w:cs="Arial"/>
          <w:color w:val="000000" w:themeColor="text1"/>
        </w:rPr>
        <w:t>,</w:t>
      </w:r>
      <w:r w:rsidRPr="007E1647">
        <w:rPr>
          <w:rFonts w:ascii="Akzidenz-Grotesk Std Regular" w:hAnsi="Akzidenz-Grotesk Std Regular" w:cs="Arial"/>
          <w:color w:val="000000" w:themeColor="text1"/>
        </w:rPr>
        <w:t xml:space="preserve"> provide detailed evaluation plan and protocol for the project</w:t>
      </w:r>
      <w:r w:rsidR="00FC64B3">
        <w:rPr>
          <w:rFonts w:ascii="Akzidenz-Grotesk Std Regular" w:hAnsi="Akzidenz-Grotesk Std Regular" w:cs="Arial"/>
          <w:color w:val="000000" w:themeColor="text1"/>
        </w:rPr>
        <w:t>; and</w:t>
      </w:r>
    </w:p>
    <w:p w14:paraId="41B4B2D2" w14:textId="60E83589" w:rsidR="00C6009E" w:rsidRDefault="00C6009E" w:rsidP="00C6009E">
      <w:pPr>
        <w:pStyle w:val="ListParagraph"/>
        <w:numPr>
          <w:ilvl w:val="0"/>
          <w:numId w:val="22"/>
        </w:numPr>
        <w:spacing w:line="256" w:lineRule="auto"/>
        <w:jc w:val="both"/>
        <w:rPr>
          <w:rFonts w:ascii="Akzidenz-Grotesk Std Regular" w:hAnsi="Akzidenz-Grotesk Std Regular" w:cs="Arial"/>
        </w:rPr>
      </w:pPr>
      <w:r w:rsidRPr="007E1647">
        <w:rPr>
          <w:rFonts w:ascii="Akzidenz-Grotesk Std Regular" w:hAnsi="Akzidenz-Grotesk Std Regular" w:cs="Arial"/>
        </w:rPr>
        <w:t>Carry out research where relevant/identify metrics or standards</w:t>
      </w:r>
      <w:r w:rsidR="00FC64B3">
        <w:rPr>
          <w:rFonts w:ascii="Akzidenz-Grotesk Std Regular" w:hAnsi="Akzidenz-Grotesk Std Regular" w:cs="Arial"/>
        </w:rPr>
        <w:t>.</w:t>
      </w:r>
    </w:p>
    <w:p w14:paraId="26DE3D9A" w14:textId="3F3C2E77" w:rsidR="00FC64B3" w:rsidRPr="00697A35" w:rsidRDefault="00FC64B3" w:rsidP="00697A35">
      <w:pPr>
        <w:spacing w:line="256" w:lineRule="auto"/>
        <w:jc w:val="both"/>
        <w:rPr>
          <w:rFonts w:ascii="Akzidenz-Grotesk Std Regular" w:hAnsi="Akzidenz-Grotesk Std Regular" w:cs="Arial"/>
        </w:rPr>
      </w:pPr>
      <w:r w:rsidRPr="00697A35">
        <w:rPr>
          <w:rFonts w:ascii="Akzidenz-Grotesk Std Regular" w:hAnsi="Akzidenz-Grotesk Std Regular" w:cs="Arial"/>
          <w:color w:val="000000" w:themeColor="text1"/>
        </w:rPr>
        <w:t>Media Defence’s Monitoring, Evaluation and Learning Officer will prepare and organise resources for evaluators</w:t>
      </w:r>
      <w:r>
        <w:rPr>
          <w:rFonts w:ascii="Akzidenz-Grotesk Std Regular" w:hAnsi="Akzidenz-Grotesk Std Regular" w:cs="Arial"/>
          <w:color w:val="000000" w:themeColor="text1"/>
        </w:rPr>
        <w:t>,</w:t>
      </w:r>
      <w:r w:rsidRPr="00697A35">
        <w:rPr>
          <w:rFonts w:ascii="Akzidenz-Grotesk Std Regular" w:hAnsi="Akzidenz-Grotesk Std Regular" w:cs="Arial"/>
          <w:color w:val="000000" w:themeColor="text1"/>
        </w:rPr>
        <w:t xml:space="preserve"> including survey results from surgeries, key indicators and data on grantees</w:t>
      </w:r>
      <w:r>
        <w:rPr>
          <w:rFonts w:ascii="Akzidenz-Grotesk Std Regular" w:hAnsi="Akzidenz-Grotesk Std Regular" w:cs="Arial"/>
        </w:rPr>
        <w:t>.</w:t>
      </w:r>
    </w:p>
    <w:p w14:paraId="64065B73" w14:textId="77777777" w:rsidR="00C6009E" w:rsidRPr="00C6009E" w:rsidRDefault="00C6009E" w:rsidP="00C6009E">
      <w:pPr>
        <w:spacing w:after="0" w:line="240" w:lineRule="auto"/>
        <w:jc w:val="both"/>
        <w:rPr>
          <w:rFonts w:ascii="Arial" w:eastAsia="Times New Roman" w:hAnsi="Arial" w:cs="Arial"/>
          <w:color w:val="0E101A"/>
          <w:lang w:eastAsia="en-GB"/>
        </w:rPr>
      </w:pPr>
    </w:p>
    <w:p w14:paraId="62EF24EA" w14:textId="15358FF9" w:rsidR="00C6009E" w:rsidRPr="007E1647" w:rsidRDefault="00C6009E" w:rsidP="00C6009E">
      <w:pPr>
        <w:jc w:val="both"/>
        <w:rPr>
          <w:rFonts w:ascii="Akzidenz-Grotesk Std Regular" w:hAnsi="Akzidenz-Grotesk Std Regular" w:cs="Arial"/>
          <w:b/>
        </w:rPr>
      </w:pPr>
      <w:r w:rsidRPr="007E1647">
        <w:rPr>
          <w:rFonts w:ascii="Akzidenz-Grotesk Std Regular" w:hAnsi="Akzidenz-Grotesk Std Regular" w:cs="Arial"/>
          <w:b/>
        </w:rPr>
        <w:t xml:space="preserve">Phase </w:t>
      </w:r>
      <w:r w:rsidR="00C36755" w:rsidRPr="007E1647">
        <w:rPr>
          <w:rFonts w:ascii="Akzidenz-Grotesk Std Regular" w:hAnsi="Akzidenz-Grotesk Std Regular" w:cs="Arial"/>
          <w:b/>
        </w:rPr>
        <w:t>2</w:t>
      </w:r>
      <w:r w:rsidRPr="007E1647">
        <w:rPr>
          <w:rFonts w:ascii="Akzidenz-Grotesk Std Regular" w:hAnsi="Akzidenz-Grotesk Std Regular" w:cs="Arial"/>
          <w:b/>
        </w:rPr>
        <w:t xml:space="preserve">: Final Evaluation (Tentative, </w:t>
      </w:r>
      <w:r w:rsidR="00AD650C">
        <w:rPr>
          <w:rFonts w:ascii="Akzidenz-Grotesk Std Regular" w:hAnsi="Akzidenz-Grotesk Std Regular" w:cs="Arial"/>
          <w:b/>
        </w:rPr>
        <w:t xml:space="preserve">October 2022 - </w:t>
      </w:r>
      <w:r w:rsidR="00697A35">
        <w:rPr>
          <w:rFonts w:ascii="Akzidenz-Grotesk Std Regular" w:hAnsi="Akzidenz-Grotesk Std Regular" w:cs="Arial"/>
          <w:b/>
        </w:rPr>
        <w:t>January</w:t>
      </w:r>
      <w:r w:rsidRPr="007E1647">
        <w:rPr>
          <w:rFonts w:ascii="Akzidenz-Grotesk Std Regular" w:hAnsi="Akzidenz-Grotesk Std Regular" w:cs="Arial"/>
          <w:b/>
        </w:rPr>
        <w:t xml:space="preserve"> 202</w:t>
      </w:r>
      <w:r w:rsidR="00AD650C">
        <w:rPr>
          <w:rFonts w:ascii="Akzidenz-Grotesk Std Regular" w:hAnsi="Akzidenz-Grotesk Std Regular" w:cs="Arial"/>
          <w:b/>
        </w:rPr>
        <w:t>3</w:t>
      </w:r>
      <w:r w:rsidRPr="007E1647">
        <w:rPr>
          <w:rFonts w:ascii="Akzidenz-Grotesk Std Regular" w:hAnsi="Akzidenz-Grotesk Std Regular" w:cs="Arial"/>
          <w:b/>
        </w:rPr>
        <w:t>)</w:t>
      </w:r>
    </w:p>
    <w:p w14:paraId="1DA4405C" w14:textId="1C36CCD5" w:rsidR="009C4AC5" w:rsidRDefault="009C4AC5" w:rsidP="009C4AC5">
      <w:pPr>
        <w:pStyle w:val="ListParagraph"/>
        <w:numPr>
          <w:ilvl w:val="0"/>
          <w:numId w:val="24"/>
        </w:numPr>
        <w:spacing w:line="256" w:lineRule="auto"/>
        <w:jc w:val="both"/>
        <w:rPr>
          <w:rFonts w:ascii="Akzidenz-Grotesk Std Regular" w:hAnsi="Akzidenz-Grotesk Std Regular" w:cs="Arial"/>
        </w:rPr>
      </w:pPr>
      <w:r>
        <w:rPr>
          <w:rFonts w:ascii="Akzidenz-Grotesk Std Regular" w:hAnsi="Akzidenz-Grotesk Std Regular" w:cs="Arial"/>
        </w:rPr>
        <w:t>Decide on f</w:t>
      </w:r>
      <w:r w:rsidR="00C6009E" w:rsidRPr="007E1647">
        <w:rPr>
          <w:rFonts w:ascii="Akzidenz-Grotesk Std Regular" w:hAnsi="Akzidenz-Grotesk Std Regular" w:cs="Arial"/>
        </w:rPr>
        <w:t xml:space="preserve">inal evaluation plan and methodology. </w:t>
      </w:r>
    </w:p>
    <w:p w14:paraId="329C9A7E" w14:textId="0ACD8B7D" w:rsidR="00C6009E" w:rsidRPr="007E1647" w:rsidRDefault="009C4AC5" w:rsidP="00C6009E">
      <w:pPr>
        <w:pStyle w:val="ListParagraph"/>
        <w:numPr>
          <w:ilvl w:val="0"/>
          <w:numId w:val="24"/>
        </w:numPr>
        <w:spacing w:line="256" w:lineRule="auto"/>
        <w:jc w:val="both"/>
        <w:rPr>
          <w:rFonts w:ascii="Akzidenz-Grotesk Std Regular" w:hAnsi="Akzidenz-Grotesk Std Regular" w:cs="Arial"/>
        </w:rPr>
      </w:pPr>
      <w:r>
        <w:rPr>
          <w:rFonts w:ascii="Akzidenz-Grotesk Std Regular" w:hAnsi="Akzidenz-Grotesk Std Regular" w:cs="Arial"/>
        </w:rPr>
        <w:t xml:space="preserve">Conduct </w:t>
      </w:r>
      <w:r w:rsidR="00C6009E" w:rsidRPr="007E1647">
        <w:rPr>
          <w:rFonts w:ascii="Akzidenz-Grotesk Std Regular" w:hAnsi="Akzidenz-Grotesk Std Regular" w:cs="Arial"/>
        </w:rPr>
        <w:t>independent data collection activities</w:t>
      </w:r>
      <w:r>
        <w:rPr>
          <w:rFonts w:ascii="Akzidenz-Grotesk Std Regular" w:hAnsi="Akzidenz-Grotesk Std Regular" w:cs="Arial"/>
        </w:rPr>
        <w:t>,</w:t>
      </w:r>
      <w:r w:rsidR="00C6009E" w:rsidRPr="007E1647">
        <w:rPr>
          <w:rFonts w:ascii="Akzidenz-Grotesk Std Regular" w:hAnsi="Akzidenz-Grotesk Std Regular" w:cs="Arial"/>
        </w:rPr>
        <w:t xml:space="preserve"> such as focus groups and interviews with key stakeholders (where bias would be introduced if M</w:t>
      </w:r>
      <w:r w:rsidR="00AD650C">
        <w:rPr>
          <w:rFonts w:ascii="Akzidenz-Grotesk Std Regular" w:hAnsi="Akzidenz-Grotesk Std Regular" w:cs="Arial"/>
        </w:rPr>
        <w:t>edia Defence</w:t>
      </w:r>
      <w:r w:rsidR="00C6009E" w:rsidRPr="007E1647">
        <w:rPr>
          <w:rFonts w:ascii="Akzidenz-Grotesk Std Regular" w:hAnsi="Akzidenz-Grotesk Std Regular" w:cs="Arial"/>
        </w:rPr>
        <w:t xml:space="preserve"> were to carry out)</w:t>
      </w:r>
      <w:r>
        <w:rPr>
          <w:rFonts w:ascii="Akzidenz-Grotesk Std Regular" w:hAnsi="Akzidenz-Grotesk Std Regular" w:cs="Arial"/>
        </w:rPr>
        <w:t>. S</w:t>
      </w:r>
      <w:r w:rsidRPr="000709F1">
        <w:rPr>
          <w:rFonts w:ascii="Akzidenz-Grotesk Std Regular" w:hAnsi="Akzidenz-Grotesk Std Regular" w:cs="Arial"/>
        </w:rPr>
        <w:t xml:space="preserve">ome travel may be required, </w:t>
      </w:r>
      <w:r>
        <w:rPr>
          <w:rFonts w:ascii="Akzidenz-Grotesk Std Regular" w:hAnsi="Akzidenz-Grotesk Std Regular" w:cs="Arial"/>
        </w:rPr>
        <w:t>which would</w:t>
      </w:r>
      <w:r w:rsidRPr="000709F1">
        <w:rPr>
          <w:rFonts w:ascii="Akzidenz-Grotesk Std Regular" w:hAnsi="Akzidenz-Grotesk Std Regular" w:cs="Arial"/>
        </w:rPr>
        <w:t xml:space="preserve"> be agreed </w:t>
      </w:r>
      <w:r>
        <w:rPr>
          <w:rFonts w:ascii="Akzidenz-Grotesk Std Regular" w:hAnsi="Akzidenz-Grotesk Std Regular" w:cs="Arial"/>
        </w:rPr>
        <w:t xml:space="preserve">in advance </w:t>
      </w:r>
      <w:r w:rsidRPr="000709F1">
        <w:rPr>
          <w:rFonts w:ascii="Akzidenz-Grotesk Std Regular" w:hAnsi="Akzidenz-Grotesk Std Regular" w:cs="Arial"/>
        </w:rPr>
        <w:t>with M</w:t>
      </w:r>
      <w:r>
        <w:rPr>
          <w:rFonts w:ascii="Akzidenz-Grotesk Std Regular" w:hAnsi="Akzidenz-Grotesk Std Regular" w:cs="Arial"/>
        </w:rPr>
        <w:t>edia Defence. A</w:t>
      </w:r>
      <w:r w:rsidRPr="000709F1">
        <w:rPr>
          <w:rFonts w:ascii="Akzidenz-Grotesk Std Regular" w:hAnsi="Akzidenz-Grotesk Std Regular" w:cs="Arial"/>
        </w:rPr>
        <w:t xml:space="preserve">ny </w:t>
      </w:r>
      <w:r>
        <w:rPr>
          <w:rFonts w:ascii="Akzidenz-Grotesk Std Regular" w:hAnsi="Akzidenz-Grotesk Std Regular" w:cs="Arial"/>
        </w:rPr>
        <w:t xml:space="preserve">agreed </w:t>
      </w:r>
      <w:r w:rsidRPr="000709F1">
        <w:rPr>
          <w:rFonts w:ascii="Akzidenz-Grotesk Std Regular" w:hAnsi="Akzidenz-Grotesk Std Regular" w:cs="Arial"/>
        </w:rPr>
        <w:t>travel and associated costs will be covered by Media Defence.</w:t>
      </w:r>
    </w:p>
    <w:p w14:paraId="65E9B2F7" w14:textId="26906CF2" w:rsidR="009C4AC5" w:rsidRPr="009C4AC5" w:rsidRDefault="009C4AC5" w:rsidP="009C4AC5">
      <w:pPr>
        <w:pStyle w:val="ListParagraph"/>
        <w:numPr>
          <w:ilvl w:val="0"/>
          <w:numId w:val="24"/>
        </w:numPr>
        <w:jc w:val="both"/>
        <w:rPr>
          <w:rFonts w:ascii="Akzidenz-Grotesk Std Regular" w:hAnsi="Akzidenz-Grotesk Std Regular" w:cs="Arial"/>
        </w:rPr>
      </w:pPr>
      <w:r>
        <w:rPr>
          <w:rFonts w:ascii="Akzidenz-Grotesk Std Regular" w:hAnsi="Akzidenz-Grotesk Std Regular" w:cs="Arial"/>
        </w:rPr>
        <w:t>Conduct an i</w:t>
      </w:r>
      <w:r w:rsidRPr="009C4AC5">
        <w:rPr>
          <w:rFonts w:ascii="Akzidenz-Grotesk Std Regular" w:hAnsi="Akzidenz-Grotesk Std Regular" w:cs="Arial"/>
        </w:rPr>
        <w:t>ndependent analysis of all evaluation data/project data</w:t>
      </w:r>
      <w:r>
        <w:rPr>
          <w:rFonts w:ascii="Akzidenz-Grotesk Std Regular" w:hAnsi="Akzidenz-Grotesk Std Regular" w:cs="Arial"/>
        </w:rPr>
        <w:t>, including data</w:t>
      </w:r>
      <w:r w:rsidRPr="009C4AC5">
        <w:rPr>
          <w:rFonts w:ascii="Akzidenz-Grotesk Std Regular" w:hAnsi="Akzidenz-Grotesk Std Regular" w:cs="Arial"/>
        </w:rPr>
        <w:t xml:space="preserve"> collected by Media Defence</w:t>
      </w:r>
      <w:r>
        <w:rPr>
          <w:rFonts w:ascii="Akzidenz-Grotesk Std Regular" w:hAnsi="Akzidenz-Grotesk Std Regular" w:cs="Arial"/>
        </w:rPr>
        <w:t>.</w:t>
      </w:r>
    </w:p>
    <w:p w14:paraId="061EF48C" w14:textId="4F98D398" w:rsidR="000709F1" w:rsidRDefault="009C4AC5" w:rsidP="00C6009E">
      <w:pPr>
        <w:pStyle w:val="ListParagraph"/>
        <w:numPr>
          <w:ilvl w:val="0"/>
          <w:numId w:val="24"/>
        </w:numPr>
        <w:spacing w:line="256" w:lineRule="auto"/>
        <w:jc w:val="both"/>
        <w:rPr>
          <w:rFonts w:ascii="Akzidenz-Grotesk Std Regular" w:hAnsi="Akzidenz-Grotesk Std Regular" w:cs="Arial"/>
        </w:rPr>
      </w:pPr>
      <w:r>
        <w:rPr>
          <w:rFonts w:ascii="Akzidenz-Grotesk Std Regular" w:hAnsi="Akzidenz-Grotesk Std Regular" w:cs="Arial"/>
        </w:rPr>
        <w:t>Deliver a f</w:t>
      </w:r>
      <w:r w:rsidRPr="007E1647">
        <w:rPr>
          <w:rFonts w:ascii="Akzidenz-Grotesk Std Regular" w:hAnsi="Akzidenz-Grotesk Std Regular" w:cs="Arial"/>
        </w:rPr>
        <w:t xml:space="preserve">inal </w:t>
      </w:r>
      <w:r w:rsidR="00C6009E" w:rsidRPr="007E1647">
        <w:rPr>
          <w:rFonts w:ascii="Akzidenz-Grotesk Std Regular" w:hAnsi="Akzidenz-Grotesk Std Regular" w:cs="Arial"/>
        </w:rPr>
        <w:t xml:space="preserve">report </w:t>
      </w:r>
      <w:r>
        <w:rPr>
          <w:rFonts w:ascii="Akzidenz-Grotesk Std Regular" w:hAnsi="Akzidenz-Grotesk Std Regular" w:cs="Arial"/>
        </w:rPr>
        <w:t>which</w:t>
      </w:r>
      <w:r w:rsidRPr="007E1647">
        <w:rPr>
          <w:rFonts w:ascii="Akzidenz-Grotesk Std Regular" w:hAnsi="Akzidenz-Grotesk Std Regular" w:cs="Arial"/>
        </w:rPr>
        <w:t xml:space="preserve"> </w:t>
      </w:r>
      <w:r w:rsidR="00C6009E" w:rsidRPr="007E1647">
        <w:rPr>
          <w:rFonts w:ascii="Akzidenz-Grotesk Std Regular" w:hAnsi="Akzidenz-Grotesk Std Regular" w:cs="Arial"/>
        </w:rPr>
        <w:t xml:space="preserve">will highlight the project’s key successes, assess how objectives </w:t>
      </w:r>
      <w:r w:rsidR="00C6009E" w:rsidRPr="007E1647">
        <w:rPr>
          <w:rFonts w:ascii="Akzidenz-Grotesk Std Regular" w:hAnsi="Akzidenz-Grotesk Std Regular" w:cs="Arial"/>
        </w:rPr>
        <w:t xml:space="preserve">have or have not been met, and provide recommendations for future iterations and analysis on replicability and scalability of the project. </w:t>
      </w:r>
    </w:p>
    <w:p w14:paraId="4AA041CE" w14:textId="6C9851BC" w:rsidR="00C6009E" w:rsidRPr="000709F1" w:rsidRDefault="00C6009E" w:rsidP="000709F1">
      <w:pPr>
        <w:spacing w:line="256" w:lineRule="auto"/>
        <w:jc w:val="both"/>
        <w:rPr>
          <w:rFonts w:ascii="Akzidenz-Grotesk Std Regular" w:hAnsi="Akzidenz-Grotesk Std Regular" w:cs="Arial"/>
        </w:rPr>
      </w:pPr>
      <w:r w:rsidRPr="000709F1">
        <w:rPr>
          <w:rFonts w:ascii="Akzidenz-Grotesk Std Regular" w:hAnsi="Akzidenz-Grotesk Std Regular"/>
          <w:b/>
          <w:sz w:val="24"/>
          <w:szCs w:val="24"/>
        </w:rPr>
        <w:t>Governance and accountability</w:t>
      </w:r>
    </w:p>
    <w:p w14:paraId="01094A97" w14:textId="0E5B0224" w:rsidR="00C6009E" w:rsidRPr="007E1647" w:rsidRDefault="00C6009E" w:rsidP="00C6009E">
      <w:pPr>
        <w:jc w:val="both"/>
        <w:rPr>
          <w:rFonts w:ascii="Akzidenz-Grotesk Std Light" w:hAnsi="Akzidenz-Grotesk Std Light" w:cs="Arial"/>
        </w:rPr>
      </w:pPr>
      <w:r w:rsidRPr="007E1647">
        <w:rPr>
          <w:rFonts w:ascii="Akzidenz-Grotesk Std Light" w:hAnsi="Akzidenz-Grotesk Std Light" w:cs="Arial"/>
        </w:rPr>
        <w:t>M</w:t>
      </w:r>
      <w:r w:rsidR="00AD650C">
        <w:rPr>
          <w:rFonts w:ascii="Akzidenz-Grotesk Std Light" w:hAnsi="Akzidenz-Grotesk Std Light" w:cs="Arial"/>
        </w:rPr>
        <w:t>edia Defence’</w:t>
      </w:r>
      <w:r w:rsidR="00AD650C" w:rsidRPr="007E1647">
        <w:rPr>
          <w:rFonts w:ascii="Akzidenz-Grotesk Std Light" w:hAnsi="Akzidenz-Grotesk Std Light" w:cs="Arial"/>
        </w:rPr>
        <w:t>s</w:t>
      </w:r>
      <w:r w:rsidRPr="007E1647">
        <w:rPr>
          <w:rFonts w:ascii="Akzidenz-Grotesk Std Light" w:hAnsi="Akzidenz-Grotesk Std Light" w:cs="Arial"/>
        </w:rPr>
        <w:t xml:space="preserve"> Monitoring, Evaluation and Learning Officer, </w:t>
      </w:r>
      <w:r w:rsidR="00C36755" w:rsidRPr="007E1647">
        <w:rPr>
          <w:rFonts w:ascii="Akzidenz-Grotesk Std Light" w:hAnsi="Akzidenz-Grotesk Std Light" w:cs="Arial"/>
        </w:rPr>
        <w:t>Laura McCartan</w:t>
      </w:r>
      <w:r w:rsidRPr="007E1647">
        <w:rPr>
          <w:rFonts w:ascii="Akzidenz-Grotesk Std Light" w:hAnsi="Akzidenz-Grotesk Std Light" w:cs="Arial"/>
        </w:rPr>
        <w:t>, will be the key contact for this consultancy and will be responsible for day-to-day communications and support with the evaluation consultant. Other key stakeholders will include:</w:t>
      </w:r>
    </w:p>
    <w:p w14:paraId="1E741E51" w14:textId="1B433971" w:rsidR="00C6009E" w:rsidRPr="007E1647" w:rsidRDefault="00C36755" w:rsidP="00C6009E">
      <w:pPr>
        <w:pStyle w:val="ListParagraph"/>
        <w:numPr>
          <w:ilvl w:val="0"/>
          <w:numId w:val="20"/>
        </w:numPr>
        <w:jc w:val="both"/>
        <w:rPr>
          <w:rFonts w:ascii="Akzidenz-Grotesk Std Light" w:hAnsi="Akzidenz-Grotesk Std Light" w:cs="Arial"/>
        </w:rPr>
      </w:pPr>
      <w:r w:rsidRPr="007E1647">
        <w:rPr>
          <w:rFonts w:ascii="Akzidenz-Grotesk Std Light" w:hAnsi="Akzidenz-Grotesk Std Light" w:cs="Arial"/>
        </w:rPr>
        <w:t>Training Manager</w:t>
      </w:r>
    </w:p>
    <w:p w14:paraId="24192368" w14:textId="2B3EB994" w:rsidR="00543FCC" w:rsidRPr="007E1647" w:rsidRDefault="00C6009E" w:rsidP="00C6009E">
      <w:pPr>
        <w:pStyle w:val="ListParagraph"/>
        <w:numPr>
          <w:ilvl w:val="0"/>
          <w:numId w:val="20"/>
        </w:numPr>
        <w:jc w:val="both"/>
        <w:rPr>
          <w:rFonts w:ascii="Akzidenz-Grotesk Std Light" w:hAnsi="Akzidenz-Grotesk Std Light" w:cs="Arial"/>
        </w:rPr>
      </w:pPr>
      <w:r w:rsidRPr="007E1647">
        <w:rPr>
          <w:rFonts w:ascii="Akzidenz-Grotesk Std Light" w:hAnsi="Akzidenz-Grotesk Std Light" w:cs="Arial"/>
        </w:rPr>
        <w:t>Donor representatives</w:t>
      </w:r>
    </w:p>
    <w:p w14:paraId="4E81BB92" w14:textId="77777777" w:rsidR="00C6009E" w:rsidRPr="007E1647" w:rsidRDefault="00C6009E" w:rsidP="00C6009E">
      <w:pPr>
        <w:rPr>
          <w:rFonts w:ascii="Akzidenz-Grotesk Std Regular" w:hAnsi="Akzidenz-Grotesk Std Regular"/>
          <w:b/>
          <w:sz w:val="24"/>
          <w:szCs w:val="24"/>
        </w:rPr>
      </w:pPr>
      <w:r w:rsidRPr="007E1647">
        <w:rPr>
          <w:rFonts w:ascii="Akzidenz-Grotesk Std Regular" w:hAnsi="Akzidenz-Grotesk Std Regular"/>
          <w:b/>
          <w:sz w:val="24"/>
          <w:szCs w:val="24"/>
        </w:rPr>
        <w:t>Qualifications and experience</w:t>
      </w:r>
    </w:p>
    <w:p w14:paraId="6205AEBF" w14:textId="77777777"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The consultant should:</w:t>
      </w:r>
    </w:p>
    <w:p w14:paraId="0F0DC602" w14:textId="34FA3B2C" w:rsidR="00C6009E" w:rsidRPr="007E1647" w:rsidRDefault="00C6009E" w:rsidP="00C6009E">
      <w:pPr>
        <w:pStyle w:val="ListParagraph"/>
        <w:numPr>
          <w:ilvl w:val="0"/>
          <w:numId w:val="25"/>
        </w:numPr>
        <w:spacing w:line="256" w:lineRule="auto"/>
        <w:jc w:val="both"/>
        <w:rPr>
          <w:rFonts w:ascii="Akzidenz-Grotesk Std Regular" w:hAnsi="Akzidenz-Grotesk Std Regular" w:cs="Arial"/>
          <w:color w:val="000000" w:themeColor="text1"/>
        </w:rPr>
      </w:pPr>
      <w:r w:rsidRPr="007E1647">
        <w:rPr>
          <w:rFonts w:ascii="Akzidenz-Grotesk Std Regular" w:hAnsi="Akzidenz-Grotesk Std Regular" w:cs="Arial"/>
        </w:rPr>
        <w:lastRenderedPageBreak/>
        <w:t xml:space="preserve">have demonstrable experience in the monitoring and evaluation sector (at least </w:t>
      </w:r>
      <w:r w:rsidR="009C4AC5">
        <w:rPr>
          <w:rFonts w:ascii="Akzidenz-Grotesk Std Regular" w:hAnsi="Akzidenz-Grotesk Std Regular" w:cs="Arial"/>
        </w:rPr>
        <w:t>three</w:t>
      </w:r>
      <w:r w:rsidRPr="007E1647">
        <w:rPr>
          <w:rFonts w:ascii="Akzidenz-Grotesk Std Regular" w:hAnsi="Akzidenz-Grotesk Std Regular" w:cs="Arial"/>
        </w:rPr>
        <w:t xml:space="preserve"> years’ </w:t>
      </w:r>
      <w:r w:rsidRPr="007E1647">
        <w:rPr>
          <w:rFonts w:ascii="Akzidenz-Grotesk Std Regular" w:hAnsi="Akzidenz-Grotesk Std Regular" w:cs="Arial"/>
          <w:color w:val="000000" w:themeColor="text1"/>
        </w:rPr>
        <w:t>experience)</w:t>
      </w:r>
    </w:p>
    <w:p w14:paraId="1E71EE6E" w14:textId="7EBCCF5D" w:rsidR="00C6009E" w:rsidRPr="007E1647" w:rsidRDefault="00C6009E" w:rsidP="00C6009E">
      <w:pPr>
        <w:pStyle w:val="ListParagraph"/>
        <w:numPr>
          <w:ilvl w:val="0"/>
          <w:numId w:val="25"/>
        </w:numPr>
        <w:spacing w:line="256" w:lineRule="auto"/>
        <w:jc w:val="both"/>
        <w:rPr>
          <w:rFonts w:ascii="Akzidenz-Grotesk Std Regular" w:hAnsi="Akzidenz-Grotesk Std Regular" w:cs="Arial"/>
          <w:color w:val="000000" w:themeColor="text1"/>
        </w:rPr>
      </w:pPr>
      <w:r w:rsidRPr="007E1647">
        <w:rPr>
          <w:rFonts w:ascii="Akzidenz-Grotesk Std Regular" w:hAnsi="Akzidenz-Grotesk Std Regular" w:cs="Arial"/>
          <w:color w:val="000000" w:themeColor="text1"/>
        </w:rPr>
        <w:t xml:space="preserve">have demonstrable experience of carrying out evaluations for NGOs and charities, preferably involving projects in </w:t>
      </w:r>
      <w:r w:rsidR="00962183" w:rsidRPr="007E1647">
        <w:rPr>
          <w:rFonts w:ascii="Akzidenz-Grotesk Std Regular" w:hAnsi="Akzidenz-Grotesk Std Regular" w:cs="Arial"/>
          <w:color w:val="000000" w:themeColor="text1"/>
        </w:rPr>
        <w:t>the Indo-Pacific</w:t>
      </w:r>
      <w:r w:rsidR="00A34345">
        <w:rPr>
          <w:rFonts w:ascii="Akzidenz-Grotesk Std Regular" w:hAnsi="Akzidenz-Grotesk Std Regular" w:cs="Arial"/>
          <w:color w:val="000000" w:themeColor="text1"/>
        </w:rPr>
        <w:t xml:space="preserve"> region</w:t>
      </w:r>
    </w:p>
    <w:p w14:paraId="13D4B22D" w14:textId="77777777" w:rsidR="00C6009E" w:rsidRPr="007E1647" w:rsidRDefault="00C6009E" w:rsidP="00C6009E">
      <w:pPr>
        <w:pStyle w:val="ListParagraph"/>
        <w:numPr>
          <w:ilvl w:val="0"/>
          <w:numId w:val="25"/>
        </w:numPr>
        <w:spacing w:line="256" w:lineRule="auto"/>
        <w:jc w:val="both"/>
        <w:rPr>
          <w:rFonts w:ascii="Akzidenz-Grotesk Std Regular" w:hAnsi="Akzidenz-Grotesk Std Regular" w:cs="Arial"/>
          <w:color w:val="000000" w:themeColor="text1"/>
        </w:rPr>
      </w:pPr>
      <w:r w:rsidRPr="007E1647">
        <w:rPr>
          <w:rFonts w:ascii="Akzidenz-Grotesk Std Regular" w:hAnsi="Akzidenz-Grotesk Std Regular" w:cs="Arial"/>
          <w:color w:val="000000" w:themeColor="text1"/>
        </w:rPr>
        <w:t xml:space="preserve">have demonstrable experience of developing tools, instruments and evaluation frameworks </w:t>
      </w:r>
    </w:p>
    <w:p w14:paraId="73A54737" w14:textId="2C6C0E75" w:rsidR="004378F8" w:rsidRPr="00697A35" w:rsidRDefault="00C6009E" w:rsidP="00697A35">
      <w:pPr>
        <w:pStyle w:val="ListParagraph"/>
        <w:numPr>
          <w:ilvl w:val="0"/>
          <w:numId w:val="25"/>
        </w:numPr>
        <w:spacing w:line="256" w:lineRule="auto"/>
        <w:jc w:val="both"/>
        <w:rPr>
          <w:rFonts w:ascii="Akzidenz-Grotesk Std Regular" w:hAnsi="Akzidenz-Grotesk Std Regular" w:cs="Arial"/>
          <w:color w:val="000000" w:themeColor="text1"/>
        </w:rPr>
      </w:pPr>
      <w:r w:rsidRPr="007E1647">
        <w:rPr>
          <w:rFonts w:ascii="Akzidenz-Grotesk Std Regular" w:hAnsi="Akzidenz-Grotesk Std Regular" w:cs="Arial"/>
          <w:color w:val="000000" w:themeColor="text1"/>
        </w:rPr>
        <w:t xml:space="preserve">have demonstrable experience or </w:t>
      </w:r>
      <w:r w:rsidR="00A34345">
        <w:rPr>
          <w:rFonts w:ascii="Akzidenz-Grotesk Std Regular" w:hAnsi="Akzidenz-Grotesk Std Regular" w:cs="Arial"/>
          <w:color w:val="000000" w:themeColor="text1"/>
        </w:rPr>
        <w:t>be</w:t>
      </w:r>
      <w:r w:rsidRPr="007E1647">
        <w:rPr>
          <w:rFonts w:ascii="Akzidenz-Grotesk Std Regular" w:hAnsi="Akzidenz-Grotesk Std Regular" w:cs="Arial"/>
          <w:color w:val="000000" w:themeColor="text1"/>
        </w:rPr>
        <w:t xml:space="preserve"> comfortable with conducting interviews and focus groups for evaluations remotely</w:t>
      </w:r>
    </w:p>
    <w:p w14:paraId="26913943" w14:textId="77777777" w:rsidR="00C6009E" w:rsidRPr="007E1647" w:rsidRDefault="00C6009E" w:rsidP="00C6009E">
      <w:pPr>
        <w:rPr>
          <w:rFonts w:ascii="Akzidenz-Grotesk Std Regular" w:hAnsi="Akzidenz-Grotesk Std Regular"/>
          <w:b/>
          <w:sz w:val="24"/>
          <w:szCs w:val="24"/>
        </w:rPr>
      </w:pPr>
      <w:r w:rsidRPr="007E1647">
        <w:rPr>
          <w:rFonts w:ascii="Akzidenz-Grotesk Std Regular" w:hAnsi="Akzidenz-Grotesk Std Regular"/>
          <w:b/>
          <w:sz w:val="24"/>
          <w:szCs w:val="24"/>
        </w:rPr>
        <w:t>Deliverables</w:t>
      </w:r>
    </w:p>
    <w:p w14:paraId="2C4E73DE" w14:textId="48737918" w:rsidR="00C6009E" w:rsidRDefault="00C6009E" w:rsidP="00C6009E">
      <w:pPr>
        <w:pStyle w:val="ListParagraph"/>
        <w:numPr>
          <w:ilvl w:val="0"/>
          <w:numId w:val="26"/>
        </w:numPr>
        <w:spacing w:line="256" w:lineRule="auto"/>
        <w:jc w:val="both"/>
        <w:rPr>
          <w:rFonts w:ascii="Akzidenz-Grotesk Std Regular" w:hAnsi="Akzidenz-Grotesk Std Regular" w:cs="Arial"/>
        </w:rPr>
      </w:pPr>
      <w:r w:rsidRPr="007E1647">
        <w:rPr>
          <w:rFonts w:ascii="Akzidenz-Grotesk Std Regular" w:hAnsi="Akzidenz-Grotesk Std Regular" w:cs="Arial"/>
        </w:rPr>
        <w:t>Finalised data collection tools</w:t>
      </w:r>
    </w:p>
    <w:p w14:paraId="10F9585A" w14:textId="1684B5B1" w:rsidR="00697A35" w:rsidRPr="007E1647" w:rsidRDefault="00697A35" w:rsidP="00C6009E">
      <w:pPr>
        <w:pStyle w:val="ListParagraph"/>
        <w:numPr>
          <w:ilvl w:val="0"/>
          <w:numId w:val="26"/>
        </w:numPr>
        <w:spacing w:line="256" w:lineRule="auto"/>
        <w:jc w:val="both"/>
        <w:rPr>
          <w:rFonts w:ascii="Akzidenz-Grotesk Std Regular" w:hAnsi="Akzidenz-Grotesk Std Regular" w:cs="Arial"/>
        </w:rPr>
      </w:pPr>
      <w:r>
        <w:rPr>
          <w:rFonts w:ascii="Akzidenz-Grotesk Std Regular" w:hAnsi="Akzidenz-Grotesk Std Regular" w:cs="Arial"/>
        </w:rPr>
        <w:t>Final Evaluation plan to be agreed with Media Defence</w:t>
      </w:r>
    </w:p>
    <w:p w14:paraId="50F9CA71" w14:textId="77777777" w:rsidR="00C6009E" w:rsidRPr="007E1647" w:rsidRDefault="00C6009E" w:rsidP="00C6009E">
      <w:pPr>
        <w:pStyle w:val="ListParagraph"/>
        <w:numPr>
          <w:ilvl w:val="0"/>
          <w:numId w:val="26"/>
        </w:numPr>
        <w:spacing w:line="256" w:lineRule="auto"/>
        <w:jc w:val="both"/>
        <w:rPr>
          <w:rFonts w:ascii="Akzidenz-Grotesk Std Regular" w:hAnsi="Akzidenz-Grotesk Std Regular" w:cs="Arial"/>
          <w:color w:val="000000" w:themeColor="text1"/>
        </w:rPr>
      </w:pPr>
      <w:r w:rsidRPr="007E1647">
        <w:rPr>
          <w:rFonts w:ascii="Akzidenz-Grotesk Std Regular" w:hAnsi="Akzidenz-Grotesk Std Regular" w:cs="Arial"/>
          <w:color w:val="000000" w:themeColor="text1"/>
        </w:rPr>
        <w:t>Final Evaluation Report</w:t>
      </w:r>
    </w:p>
    <w:p w14:paraId="19D82486" w14:textId="77777777" w:rsidR="00C6009E" w:rsidRPr="004378F8" w:rsidRDefault="00C6009E" w:rsidP="00C6009E">
      <w:pPr>
        <w:rPr>
          <w:rFonts w:ascii="Akzidenz-Grotesk Std Regular" w:hAnsi="Akzidenz-Grotesk Std Regular" w:cs="Arial"/>
          <w:b/>
          <w:bCs/>
        </w:rPr>
      </w:pPr>
      <w:r w:rsidRPr="004378F8">
        <w:rPr>
          <w:rFonts w:ascii="Akzidenz-Grotesk Std Regular" w:hAnsi="Akzidenz-Grotesk Std Regular" w:cs="Arial"/>
          <w:b/>
          <w:bCs/>
        </w:rPr>
        <w:t xml:space="preserve">Useful resources </w:t>
      </w:r>
    </w:p>
    <w:p w14:paraId="13FDE97F" w14:textId="0DB0387D" w:rsidR="00C6009E" w:rsidRPr="007E1647" w:rsidRDefault="000709F1" w:rsidP="00C6009E">
      <w:pPr>
        <w:pStyle w:val="ListParagraph"/>
        <w:numPr>
          <w:ilvl w:val="0"/>
          <w:numId w:val="27"/>
        </w:numPr>
        <w:spacing w:line="256" w:lineRule="auto"/>
        <w:jc w:val="both"/>
        <w:rPr>
          <w:rStyle w:val="CommentReference"/>
          <w:rFonts w:ascii="Akzidenz-Grotesk Std Regular" w:hAnsi="Akzidenz-Grotesk Std Regular" w:cs="Arial"/>
          <w:sz w:val="22"/>
          <w:szCs w:val="22"/>
        </w:rPr>
      </w:pPr>
      <w:r>
        <w:rPr>
          <w:rFonts w:ascii="Akzidenz-Grotesk Std Regular" w:hAnsi="Akzidenz-Grotesk Std Regular" w:cs="Arial"/>
        </w:rPr>
        <w:t>Media Defence sub-awardee</w:t>
      </w:r>
      <w:r w:rsidR="00C6009E" w:rsidRPr="007E1647">
        <w:rPr>
          <w:rFonts w:ascii="Akzidenz-Grotesk Std Regular" w:hAnsi="Akzidenz-Grotesk Std Regular" w:cs="Arial"/>
        </w:rPr>
        <w:t xml:space="preserve"> </w:t>
      </w:r>
      <w:r w:rsidR="0040400E">
        <w:rPr>
          <w:rFonts w:ascii="Akzidenz-Grotesk Std Regular" w:hAnsi="Akzidenz-Grotesk Std Regular" w:cs="Arial"/>
        </w:rPr>
        <w:t>p</w:t>
      </w:r>
      <w:r w:rsidR="00C6009E" w:rsidRPr="007E1647">
        <w:rPr>
          <w:rFonts w:ascii="Akzidenz-Grotesk Std Regular" w:hAnsi="Akzidenz-Grotesk Std Regular" w:cs="Arial"/>
        </w:rPr>
        <w:t>roject proposal</w:t>
      </w:r>
    </w:p>
    <w:p w14:paraId="0EF36530" w14:textId="77777777" w:rsidR="00C6009E" w:rsidRPr="007E1647" w:rsidRDefault="00C6009E" w:rsidP="00C6009E">
      <w:pPr>
        <w:pStyle w:val="ListParagraph"/>
        <w:numPr>
          <w:ilvl w:val="0"/>
          <w:numId w:val="27"/>
        </w:numPr>
        <w:spacing w:line="256" w:lineRule="auto"/>
        <w:jc w:val="both"/>
        <w:rPr>
          <w:rFonts w:ascii="Akzidenz-Grotesk Std Regular" w:hAnsi="Akzidenz-Grotesk Std Regular" w:cs="Arial"/>
        </w:rPr>
      </w:pPr>
      <w:r w:rsidRPr="007E1647">
        <w:rPr>
          <w:rFonts w:ascii="Akzidenz-Grotesk Std Regular" w:hAnsi="Akzidenz-Grotesk Std Regular" w:cs="Arial"/>
        </w:rPr>
        <w:t>Project Evaluation narrative</w:t>
      </w:r>
    </w:p>
    <w:p w14:paraId="2A7D90D2" w14:textId="77777777" w:rsidR="00C6009E" w:rsidRPr="007E1647" w:rsidRDefault="00C6009E" w:rsidP="00C6009E">
      <w:pPr>
        <w:pStyle w:val="ListParagraph"/>
        <w:numPr>
          <w:ilvl w:val="0"/>
          <w:numId w:val="27"/>
        </w:numPr>
        <w:spacing w:line="256" w:lineRule="auto"/>
        <w:jc w:val="both"/>
        <w:rPr>
          <w:rFonts w:ascii="Akzidenz-Grotesk Std Regular" w:hAnsi="Akzidenz-Grotesk Std Regular" w:cs="Arial"/>
        </w:rPr>
      </w:pPr>
      <w:r w:rsidRPr="007E1647">
        <w:rPr>
          <w:rFonts w:ascii="Akzidenz-Grotesk Std Regular" w:hAnsi="Akzidenz-Grotesk Std Regular" w:cs="Arial"/>
        </w:rPr>
        <w:t xml:space="preserve">Project logic </w:t>
      </w:r>
      <w:r w:rsidRPr="007E1647">
        <w:rPr>
          <w:rFonts w:ascii="Akzidenz-Grotesk Std Regular" w:hAnsi="Akzidenz-Grotesk Std Regular" w:cs="Arial"/>
        </w:rPr>
        <w:t>model (log frame)</w:t>
      </w:r>
    </w:p>
    <w:p w14:paraId="2E298C7A" w14:textId="77777777" w:rsidR="00C6009E" w:rsidRPr="007E1647" w:rsidRDefault="00C6009E" w:rsidP="00C6009E">
      <w:pPr>
        <w:pStyle w:val="ListParagraph"/>
        <w:numPr>
          <w:ilvl w:val="0"/>
          <w:numId w:val="27"/>
        </w:numPr>
        <w:spacing w:line="256" w:lineRule="auto"/>
        <w:jc w:val="both"/>
        <w:rPr>
          <w:rFonts w:ascii="Akzidenz-Grotesk Std Regular" w:hAnsi="Akzidenz-Grotesk Std Regular" w:cs="Arial"/>
        </w:rPr>
      </w:pPr>
      <w:r w:rsidRPr="007E1647">
        <w:rPr>
          <w:rFonts w:ascii="Akzidenz-Grotesk Std Regular" w:hAnsi="Akzidenz-Grotesk Std Regular" w:cs="Arial"/>
        </w:rPr>
        <w:t>Project Indicator Table</w:t>
      </w:r>
    </w:p>
    <w:p w14:paraId="37B3A3A5" w14:textId="77777777"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Further Documents available on request.</w:t>
      </w:r>
    </w:p>
    <w:p w14:paraId="0199D114" w14:textId="77777777" w:rsidR="00C6009E" w:rsidRPr="007E1647" w:rsidRDefault="00C6009E" w:rsidP="00C6009E">
      <w:pPr>
        <w:rPr>
          <w:rFonts w:ascii="Akzidenz-Grotesk Std Regular" w:hAnsi="Akzidenz-Grotesk Std Regular"/>
          <w:b/>
          <w:sz w:val="24"/>
          <w:szCs w:val="24"/>
        </w:rPr>
      </w:pPr>
      <w:r w:rsidRPr="007E1647">
        <w:rPr>
          <w:rFonts w:ascii="Akzidenz-Grotesk Std Regular" w:hAnsi="Akzidenz-Grotesk Std Regular"/>
          <w:b/>
          <w:sz w:val="24"/>
          <w:szCs w:val="24"/>
        </w:rPr>
        <w:t xml:space="preserve">Application and selection </w:t>
      </w:r>
    </w:p>
    <w:p w14:paraId="04F6A178" w14:textId="77777777"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Please send your proposal, including:</w:t>
      </w:r>
    </w:p>
    <w:p w14:paraId="049D2ABA" w14:textId="77777777" w:rsidR="00C6009E" w:rsidRPr="007E1647" w:rsidRDefault="00C6009E" w:rsidP="00C6009E">
      <w:pPr>
        <w:pStyle w:val="ListParagraph"/>
        <w:numPr>
          <w:ilvl w:val="0"/>
          <w:numId w:val="28"/>
        </w:numPr>
        <w:spacing w:line="256" w:lineRule="auto"/>
        <w:jc w:val="both"/>
        <w:rPr>
          <w:rFonts w:ascii="Akzidenz-Grotesk Std Regular" w:hAnsi="Akzidenz-Grotesk Std Regular" w:cs="Arial"/>
        </w:rPr>
      </w:pPr>
      <w:r w:rsidRPr="007E1647">
        <w:rPr>
          <w:rFonts w:ascii="Akzidenz-Grotesk Std Regular" w:hAnsi="Akzidenz-Grotesk Std Regular" w:cs="Arial"/>
        </w:rPr>
        <w:t xml:space="preserve">Methodology and approach </w:t>
      </w:r>
    </w:p>
    <w:p w14:paraId="1C7CCE0A" w14:textId="77777777" w:rsidR="00C6009E" w:rsidRPr="007E1647" w:rsidRDefault="00C6009E" w:rsidP="00C6009E">
      <w:pPr>
        <w:pStyle w:val="ListParagraph"/>
        <w:numPr>
          <w:ilvl w:val="0"/>
          <w:numId w:val="28"/>
        </w:numPr>
        <w:spacing w:line="256" w:lineRule="auto"/>
        <w:jc w:val="both"/>
        <w:rPr>
          <w:rFonts w:ascii="Akzidenz-Grotesk Std Regular" w:hAnsi="Akzidenz-Grotesk Std Regular" w:cs="Arial"/>
        </w:rPr>
      </w:pPr>
      <w:r w:rsidRPr="007E1647">
        <w:rPr>
          <w:rFonts w:ascii="Akzidenz-Grotesk Std Regular" w:hAnsi="Akzidenz-Grotesk Std Regular" w:cs="Arial"/>
        </w:rPr>
        <w:t>Timeline</w:t>
      </w:r>
    </w:p>
    <w:p w14:paraId="7AF90D21" w14:textId="77777777" w:rsidR="00C6009E" w:rsidRPr="007E1647" w:rsidRDefault="00C6009E" w:rsidP="00C6009E">
      <w:pPr>
        <w:pStyle w:val="ListParagraph"/>
        <w:numPr>
          <w:ilvl w:val="0"/>
          <w:numId w:val="28"/>
        </w:numPr>
        <w:spacing w:line="256" w:lineRule="auto"/>
        <w:jc w:val="both"/>
        <w:rPr>
          <w:rFonts w:ascii="Akzidenz-Grotesk Std Regular" w:hAnsi="Akzidenz-Grotesk Std Regular" w:cs="Arial"/>
        </w:rPr>
      </w:pPr>
      <w:r w:rsidRPr="007E1647">
        <w:rPr>
          <w:rFonts w:ascii="Akzidenz-Grotesk Std Regular" w:hAnsi="Akzidenz-Grotesk Std Regular" w:cs="Arial"/>
        </w:rPr>
        <w:t xml:space="preserve">A summary of relevant experience of the agency and/or individuals involved </w:t>
      </w:r>
    </w:p>
    <w:p w14:paraId="375EE2EE" w14:textId="657E32B1" w:rsidR="00C6009E" w:rsidRPr="007E1647" w:rsidRDefault="00C6009E" w:rsidP="00C36755">
      <w:pPr>
        <w:pStyle w:val="ListParagraph"/>
        <w:numPr>
          <w:ilvl w:val="0"/>
          <w:numId w:val="28"/>
        </w:numPr>
        <w:spacing w:line="256" w:lineRule="auto"/>
        <w:jc w:val="both"/>
        <w:rPr>
          <w:rFonts w:ascii="Akzidenz-Grotesk Std Regular" w:hAnsi="Akzidenz-Grotesk Std Regular" w:cs="Arial"/>
        </w:rPr>
      </w:pPr>
      <w:r w:rsidRPr="007E1647">
        <w:rPr>
          <w:rFonts w:ascii="Akzidenz-Grotesk Std Regular" w:hAnsi="Akzidenz-Grotesk Std Regular" w:cs="Arial"/>
        </w:rPr>
        <w:t>Examples of previous relevant evaluations carried out and tools developed</w:t>
      </w:r>
    </w:p>
    <w:p w14:paraId="4E34A185" w14:textId="77777777" w:rsidR="00C6009E" w:rsidRPr="007E1647" w:rsidRDefault="00C6009E" w:rsidP="00C6009E">
      <w:pPr>
        <w:pStyle w:val="ListParagraph"/>
        <w:numPr>
          <w:ilvl w:val="0"/>
          <w:numId w:val="28"/>
        </w:numPr>
        <w:spacing w:line="256" w:lineRule="auto"/>
        <w:jc w:val="both"/>
        <w:rPr>
          <w:rFonts w:ascii="Akzidenz-Grotesk Std Regular" w:hAnsi="Akzidenz-Grotesk Std Regular" w:cs="Arial"/>
        </w:rPr>
      </w:pPr>
      <w:r w:rsidRPr="007E1647">
        <w:rPr>
          <w:rFonts w:ascii="Akzidenz-Grotesk Std Regular" w:hAnsi="Akzidenz-Grotesk Std Regular" w:cs="Arial"/>
        </w:rPr>
        <w:t>Consideration of ethics and risks</w:t>
      </w:r>
    </w:p>
    <w:p w14:paraId="54255C15" w14:textId="77777777" w:rsidR="00C6009E" w:rsidRPr="007E1647" w:rsidRDefault="00C6009E" w:rsidP="00C6009E">
      <w:pPr>
        <w:pStyle w:val="ListParagraph"/>
        <w:numPr>
          <w:ilvl w:val="0"/>
          <w:numId w:val="28"/>
        </w:numPr>
        <w:spacing w:line="256" w:lineRule="auto"/>
        <w:jc w:val="both"/>
        <w:rPr>
          <w:rFonts w:ascii="Akzidenz-Grotesk Std Regular" w:hAnsi="Akzidenz-Grotesk Std Regular" w:cs="Arial"/>
        </w:rPr>
      </w:pPr>
      <w:r w:rsidRPr="007E1647">
        <w:rPr>
          <w:rFonts w:ascii="Akzidenz-Grotesk Std Regular" w:hAnsi="Akzidenz-Grotesk Std Regular" w:cs="Arial"/>
        </w:rPr>
        <w:t xml:space="preserve">Detailed cost breakdown </w:t>
      </w:r>
    </w:p>
    <w:p w14:paraId="384A79A1" w14:textId="740618F3"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 xml:space="preserve">To </w:t>
      </w:r>
      <w:hyperlink r:id="rId9" w:history="1">
        <w:r w:rsidR="00AD650C" w:rsidRPr="00A27F8F">
          <w:rPr>
            <w:rStyle w:val="Hyperlink"/>
            <w:rFonts w:ascii="Akzidenz-Grotesk Std Regular" w:hAnsi="Akzidenz-Grotesk Std Regular" w:cs="Arial"/>
          </w:rPr>
          <w:t>laura.mc@mediadefence.org</w:t>
        </w:r>
      </w:hyperlink>
      <w:r w:rsidRPr="007E1647">
        <w:rPr>
          <w:rFonts w:ascii="Akzidenz-Grotesk Std Regular" w:hAnsi="Akzidenz-Grotesk Std Regular" w:cs="Arial"/>
        </w:rPr>
        <w:t xml:space="preserve"> no later than </w:t>
      </w:r>
      <w:r w:rsidR="0043678D">
        <w:rPr>
          <w:rFonts w:ascii="Akzidenz-Grotesk Std Regular" w:hAnsi="Akzidenz-Grotesk Std Regular" w:cs="Arial"/>
          <w:b/>
          <w:u w:val="single"/>
        </w:rPr>
        <w:t>24</w:t>
      </w:r>
      <w:r w:rsidR="00AD650C" w:rsidRPr="00AD650C">
        <w:rPr>
          <w:rFonts w:ascii="Akzidenz-Grotesk Std Regular" w:hAnsi="Akzidenz-Grotesk Std Regular" w:cs="Arial"/>
          <w:b/>
          <w:u w:val="single"/>
          <w:vertAlign w:val="superscript"/>
        </w:rPr>
        <w:t>th</w:t>
      </w:r>
      <w:r w:rsidR="00AD650C">
        <w:rPr>
          <w:rFonts w:ascii="Akzidenz-Grotesk Std Regular" w:hAnsi="Akzidenz-Grotesk Std Regular" w:cs="Arial"/>
          <w:b/>
          <w:u w:val="single"/>
        </w:rPr>
        <w:t xml:space="preserve"> </w:t>
      </w:r>
      <w:r w:rsidRPr="000709F1">
        <w:rPr>
          <w:rFonts w:ascii="Akzidenz-Grotesk Std Regular" w:hAnsi="Akzidenz-Grotesk Std Regular" w:cs="Arial"/>
          <w:b/>
          <w:u w:val="single"/>
        </w:rPr>
        <w:t>Ju</w:t>
      </w:r>
      <w:r w:rsidR="0043678D">
        <w:rPr>
          <w:rFonts w:ascii="Akzidenz-Grotesk Std Regular" w:hAnsi="Akzidenz-Grotesk Std Regular" w:cs="Arial"/>
          <w:b/>
          <w:u w:val="single"/>
        </w:rPr>
        <w:t>ne</w:t>
      </w:r>
      <w:r w:rsidRPr="000709F1">
        <w:rPr>
          <w:rFonts w:ascii="Akzidenz-Grotesk Std Regular" w:hAnsi="Akzidenz-Grotesk Std Regular" w:cs="Arial"/>
          <w:b/>
          <w:u w:val="single"/>
        </w:rPr>
        <w:t xml:space="preserve"> 202</w:t>
      </w:r>
      <w:r w:rsidR="00EB28F5" w:rsidRPr="000709F1">
        <w:rPr>
          <w:rFonts w:ascii="Akzidenz-Grotesk Std Regular" w:hAnsi="Akzidenz-Grotesk Std Regular" w:cs="Arial"/>
          <w:b/>
          <w:u w:val="single"/>
        </w:rPr>
        <w:t>2</w:t>
      </w:r>
      <w:r w:rsidRPr="0043678D">
        <w:rPr>
          <w:rFonts w:ascii="Akzidenz-Grotesk Std Regular" w:hAnsi="Akzidenz-Grotesk Std Regular" w:cs="Arial"/>
        </w:rPr>
        <w:t xml:space="preserve">. </w:t>
      </w:r>
      <w:r w:rsidRPr="007E1647">
        <w:rPr>
          <w:rFonts w:ascii="Akzidenz-Grotesk Std Regular" w:hAnsi="Akzidenz-Grotesk Std Regular" w:cs="Arial"/>
        </w:rPr>
        <w:t xml:space="preserve">Shortlisted applicants will be invited to interview in </w:t>
      </w:r>
      <w:r w:rsidR="0043678D">
        <w:rPr>
          <w:rFonts w:ascii="Akzidenz-Grotesk Std Regular" w:hAnsi="Akzidenz-Grotesk Std Regular" w:cs="Arial"/>
        </w:rPr>
        <w:t>early</w:t>
      </w:r>
      <w:r w:rsidRPr="007E1647">
        <w:rPr>
          <w:rFonts w:ascii="Akzidenz-Grotesk Std Regular" w:hAnsi="Akzidenz-Grotesk Std Regular" w:cs="Arial"/>
        </w:rPr>
        <w:t xml:space="preserve"> July 202</w:t>
      </w:r>
      <w:r w:rsidR="00EB28F5" w:rsidRPr="007E1647">
        <w:rPr>
          <w:rFonts w:ascii="Akzidenz-Grotesk Std Regular" w:hAnsi="Akzidenz-Grotesk Std Regular" w:cs="Arial"/>
        </w:rPr>
        <w:t>2</w:t>
      </w:r>
      <w:r w:rsidRPr="007E1647">
        <w:rPr>
          <w:rFonts w:ascii="Akzidenz-Grotesk Std Regular" w:hAnsi="Akzidenz-Grotesk Std Regular" w:cs="Arial"/>
        </w:rPr>
        <w:t xml:space="preserve">. </w:t>
      </w:r>
    </w:p>
    <w:p w14:paraId="1C28F3D3" w14:textId="2D644CE6"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When selecting the consultant, M</w:t>
      </w:r>
      <w:r w:rsidR="00AD650C">
        <w:rPr>
          <w:rFonts w:ascii="Akzidenz-Grotesk Std Regular" w:hAnsi="Akzidenz-Grotesk Std Regular" w:cs="Arial"/>
        </w:rPr>
        <w:t>edia Defence</w:t>
      </w:r>
      <w:r w:rsidRPr="007E1647">
        <w:rPr>
          <w:rFonts w:ascii="Akzidenz-Grotesk Std Regular" w:hAnsi="Akzidenz-Grotesk Std Regular" w:cs="Arial"/>
        </w:rPr>
        <w:t xml:space="preserve"> will consider:</w:t>
      </w:r>
    </w:p>
    <w:p w14:paraId="6A1EB36D" w14:textId="77777777" w:rsidR="00C6009E" w:rsidRPr="007E1647" w:rsidRDefault="00C6009E" w:rsidP="00C6009E">
      <w:pPr>
        <w:pStyle w:val="ListParagraph"/>
        <w:numPr>
          <w:ilvl w:val="0"/>
          <w:numId w:val="29"/>
        </w:numPr>
        <w:spacing w:line="256" w:lineRule="auto"/>
        <w:jc w:val="both"/>
        <w:rPr>
          <w:rFonts w:ascii="Akzidenz-Grotesk Std Regular" w:hAnsi="Akzidenz-Grotesk Std Regular" w:cs="Arial"/>
        </w:rPr>
      </w:pPr>
      <w:r w:rsidRPr="007E1647">
        <w:rPr>
          <w:rFonts w:ascii="Akzidenz-Grotesk Std Regular" w:hAnsi="Akzidenz-Grotesk Std Regular" w:cs="Arial"/>
        </w:rPr>
        <w:t>Past experience of the consultant</w:t>
      </w:r>
    </w:p>
    <w:p w14:paraId="36D64B45" w14:textId="77777777" w:rsidR="00C6009E" w:rsidRPr="007E1647" w:rsidRDefault="00C6009E" w:rsidP="00C6009E">
      <w:pPr>
        <w:pStyle w:val="ListParagraph"/>
        <w:numPr>
          <w:ilvl w:val="0"/>
          <w:numId w:val="29"/>
        </w:numPr>
        <w:spacing w:line="256" w:lineRule="auto"/>
        <w:jc w:val="both"/>
        <w:rPr>
          <w:rFonts w:ascii="Akzidenz-Grotesk Std Regular" w:hAnsi="Akzidenz-Grotesk Std Regular" w:cs="Arial"/>
        </w:rPr>
      </w:pPr>
      <w:r w:rsidRPr="007E1647">
        <w:rPr>
          <w:rFonts w:ascii="Akzidenz-Grotesk Std Regular" w:hAnsi="Akzidenz-Grotesk Std Regular" w:cs="Arial"/>
        </w:rPr>
        <w:t>Value for money</w:t>
      </w:r>
    </w:p>
    <w:p w14:paraId="56125468" w14:textId="77777777" w:rsidR="00C6009E" w:rsidRPr="007E1647" w:rsidRDefault="00C6009E" w:rsidP="00C6009E">
      <w:pPr>
        <w:pStyle w:val="ListParagraph"/>
        <w:numPr>
          <w:ilvl w:val="0"/>
          <w:numId w:val="29"/>
        </w:numPr>
        <w:spacing w:line="256" w:lineRule="auto"/>
        <w:jc w:val="both"/>
        <w:rPr>
          <w:rFonts w:ascii="Akzidenz-Grotesk Std Regular" w:hAnsi="Akzidenz-Grotesk Std Regular" w:cs="Arial"/>
        </w:rPr>
      </w:pPr>
      <w:r w:rsidRPr="007E1647">
        <w:rPr>
          <w:rFonts w:ascii="Akzidenz-Grotesk Std Regular" w:hAnsi="Akzidenz-Grotesk Std Regular" w:cs="Arial"/>
        </w:rPr>
        <w:t>Suitability of the approach and proposed methods</w:t>
      </w:r>
    </w:p>
    <w:p w14:paraId="183CF86B" w14:textId="77777777" w:rsidR="00C6009E" w:rsidRPr="007E1647" w:rsidRDefault="00C6009E" w:rsidP="00C6009E">
      <w:pPr>
        <w:pStyle w:val="ListParagraph"/>
        <w:numPr>
          <w:ilvl w:val="0"/>
          <w:numId w:val="29"/>
        </w:numPr>
        <w:spacing w:line="256" w:lineRule="auto"/>
        <w:jc w:val="both"/>
        <w:rPr>
          <w:rFonts w:ascii="Akzidenz-Grotesk Std Regular" w:hAnsi="Akzidenz-Grotesk Std Regular" w:cs="Arial"/>
        </w:rPr>
      </w:pPr>
      <w:r w:rsidRPr="007E1647">
        <w:rPr>
          <w:rFonts w:ascii="Akzidenz-Grotesk Std Regular" w:hAnsi="Akzidenz-Grotesk Std Regular" w:cs="Arial"/>
        </w:rPr>
        <w:t xml:space="preserve">Innovativeness of the approach  </w:t>
      </w:r>
    </w:p>
    <w:p w14:paraId="7612E427" w14:textId="77777777" w:rsidR="00C6009E" w:rsidRPr="007E1647" w:rsidRDefault="00C6009E" w:rsidP="00C6009E">
      <w:pPr>
        <w:pStyle w:val="ListParagraph"/>
        <w:numPr>
          <w:ilvl w:val="0"/>
          <w:numId w:val="29"/>
        </w:numPr>
        <w:spacing w:line="256" w:lineRule="auto"/>
        <w:jc w:val="both"/>
        <w:rPr>
          <w:rFonts w:ascii="Akzidenz-Grotesk Std Regular" w:hAnsi="Akzidenz-Grotesk Std Regular" w:cs="Arial"/>
        </w:rPr>
      </w:pPr>
      <w:r w:rsidRPr="007E1647">
        <w:rPr>
          <w:rFonts w:ascii="Akzidenz-Grotesk Std Regular" w:hAnsi="Akzidenz-Grotesk Std Regular" w:cs="Arial"/>
        </w:rPr>
        <w:t xml:space="preserve">Communication and presentation skills </w:t>
      </w:r>
    </w:p>
    <w:p w14:paraId="4DC7B0B7" w14:textId="77777777" w:rsidR="00C6009E" w:rsidRPr="007E1647" w:rsidRDefault="00C6009E" w:rsidP="00C6009E">
      <w:pPr>
        <w:pStyle w:val="ListParagraph"/>
        <w:numPr>
          <w:ilvl w:val="0"/>
          <w:numId w:val="29"/>
        </w:numPr>
        <w:spacing w:line="256" w:lineRule="auto"/>
        <w:jc w:val="both"/>
        <w:rPr>
          <w:rFonts w:ascii="Akzidenz-Grotesk Std Regular" w:hAnsi="Akzidenz-Grotesk Std Regular" w:cs="Arial"/>
        </w:rPr>
      </w:pPr>
      <w:r w:rsidRPr="007E1647">
        <w:rPr>
          <w:rFonts w:ascii="Akzidenz-Grotesk Std Regular" w:hAnsi="Akzidenz-Grotesk Std Regular" w:cs="Arial"/>
        </w:rPr>
        <w:t xml:space="preserve">Consideration of risks and mitigation </w:t>
      </w:r>
    </w:p>
    <w:p w14:paraId="00D342C3" w14:textId="667CFF33" w:rsidR="00C6009E" w:rsidRPr="007E1647" w:rsidRDefault="00C6009E" w:rsidP="00C6009E">
      <w:pPr>
        <w:pStyle w:val="ListParagraph"/>
        <w:numPr>
          <w:ilvl w:val="0"/>
          <w:numId w:val="29"/>
        </w:numPr>
        <w:spacing w:line="256" w:lineRule="auto"/>
        <w:jc w:val="both"/>
        <w:rPr>
          <w:rFonts w:ascii="Akzidenz-Grotesk Std Regular" w:hAnsi="Akzidenz-Grotesk Std Regular" w:cs="Arial"/>
        </w:rPr>
      </w:pPr>
      <w:r w:rsidRPr="007E1647">
        <w:rPr>
          <w:rFonts w:ascii="Akzidenz-Grotesk Std Regular" w:hAnsi="Akzidenz-Grotesk Std Regular" w:cs="Arial"/>
        </w:rPr>
        <w:t>Understanding of M</w:t>
      </w:r>
      <w:r w:rsidR="00AD650C">
        <w:rPr>
          <w:rFonts w:ascii="Akzidenz-Grotesk Std Regular" w:hAnsi="Akzidenz-Grotesk Std Regular" w:cs="Arial"/>
        </w:rPr>
        <w:t>edia Defence</w:t>
      </w:r>
      <w:r w:rsidRPr="007E1647">
        <w:rPr>
          <w:rFonts w:ascii="Akzidenz-Grotesk Std Regular" w:hAnsi="Akzidenz-Grotesk Std Regular" w:cs="Arial"/>
        </w:rPr>
        <w:t xml:space="preserve">’s work and objectives </w:t>
      </w:r>
    </w:p>
    <w:p w14:paraId="020E2DB8" w14:textId="77777777" w:rsidR="00D674BC" w:rsidRDefault="00D674BC" w:rsidP="00C6009E">
      <w:pPr>
        <w:jc w:val="both"/>
        <w:rPr>
          <w:rFonts w:ascii="Akzidenz-Grotesk Std Regular" w:hAnsi="Akzidenz-Grotesk Std Regular" w:cs="Arial"/>
          <w:b/>
        </w:rPr>
      </w:pPr>
    </w:p>
    <w:p w14:paraId="43B4E3FE" w14:textId="1443A499" w:rsidR="00C6009E" w:rsidRPr="007E1647" w:rsidRDefault="00C6009E" w:rsidP="00C6009E">
      <w:pPr>
        <w:jc w:val="both"/>
        <w:rPr>
          <w:rFonts w:ascii="Akzidenz-Grotesk Std Regular" w:hAnsi="Akzidenz-Grotesk Std Regular" w:cs="Arial"/>
          <w:b/>
        </w:rPr>
      </w:pPr>
      <w:r w:rsidRPr="007E1647">
        <w:rPr>
          <w:rFonts w:ascii="Akzidenz-Grotesk Std Regular" w:hAnsi="Akzidenz-Grotesk Std Regular" w:cs="Arial"/>
          <w:b/>
        </w:rPr>
        <w:t>Key Dates</w:t>
      </w:r>
    </w:p>
    <w:tbl>
      <w:tblPr>
        <w:tblStyle w:val="TableGrid"/>
        <w:tblW w:w="0" w:type="auto"/>
        <w:tblInd w:w="0" w:type="dxa"/>
        <w:tblLook w:val="04A0" w:firstRow="1" w:lastRow="0" w:firstColumn="1" w:lastColumn="0" w:noHBand="0" w:noVBand="1"/>
      </w:tblPr>
      <w:tblGrid>
        <w:gridCol w:w="4759"/>
        <w:gridCol w:w="4257"/>
      </w:tblGrid>
      <w:tr w:rsidR="00C6009E" w:rsidRPr="007E1647" w14:paraId="38E2191C" w14:textId="77777777" w:rsidTr="00C6009E">
        <w:tc>
          <w:tcPr>
            <w:tcW w:w="4759" w:type="dxa"/>
            <w:tcBorders>
              <w:top w:val="single" w:sz="4" w:space="0" w:color="auto"/>
              <w:left w:val="single" w:sz="4" w:space="0" w:color="auto"/>
              <w:bottom w:val="single" w:sz="4" w:space="0" w:color="auto"/>
              <w:right w:val="single" w:sz="4" w:space="0" w:color="auto"/>
            </w:tcBorders>
            <w:hideMark/>
          </w:tcPr>
          <w:p w14:paraId="0D9B671C" w14:textId="77777777"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Deadline for proposals</w:t>
            </w:r>
          </w:p>
        </w:tc>
        <w:tc>
          <w:tcPr>
            <w:tcW w:w="4257" w:type="dxa"/>
            <w:tcBorders>
              <w:top w:val="single" w:sz="4" w:space="0" w:color="auto"/>
              <w:left w:val="single" w:sz="4" w:space="0" w:color="auto"/>
              <w:bottom w:val="single" w:sz="4" w:space="0" w:color="auto"/>
              <w:right w:val="single" w:sz="4" w:space="0" w:color="auto"/>
            </w:tcBorders>
            <w:hideMark/>
          </w:tcPr>
          <w:p w14:paraId="1DCF6854" w14:textId="6BDB4B15" w:rsidR="00C6009E" w:rsidRPr="007E1647" w:rsidRDefault="0043678D" w:rsidP="00C6009E">
            <w:pPr>
              <w:jc w:val="both"/>
              <w:rPr>
                <w:rFonts w:ascii="Akzidenz-Grotesk Std Regular" w:hAnsi="Akzidenz-Grotesk Std Regular" w:cs="Arial"/>
              </w:rPr>
            </w:pPr>
            <w:r>
              <w:rPr>
                <w:rFonts w:ascii="Akzidenz-Grotesk Std Regular" w:hAnsi="Akzidenz-Grotesk Std Regular" w:cs="Arial"/>
              </w:rPr>
              <w:t>24</w:t>
            </w:r>
            <w:r w:rsidRPr="0043678D">
              <w:rPr>
                <w:rFonts w:ascii="Akzidenz-Grotesk Std Regular" w:hAnsi="Akzidenz-Grotesk Std Regular" w:cs="Arial"/>
                <w:vertAlign w:val="superscript"/>
              </w:rPr>
              <w:t>th</w:t>
            </w:r>
            <w:r>
              <w:rPr>
                <w:rFonts w:ascii="Akzidenz-Grotesk Std Regular" w:hAnsi="Akzidenz-Grotesk Std Regular" w:cs="Arial"/>
              </w:rPr>
              <w:t xml:space="preserve"> </w:t>
            </w:r>
            <w:r w:rsidR="00C6009E" w:rsidRPr="007E1647">
              <w:rPr>
                <w:rFonts w:ascii="Akzidenz-Grotesk Std Regular" w:hAnsi="Akzidenz-Grotesk Std Regular" w:cs="Arial"/>
              </w:rPr>
              <w:t>Ju</w:t>
            </w:r>
            <w:r>
              <w:rPr>
                <w:rFonts w:ascii="Akzidenz-Grotesk Std Regular" w:hAnsi="Akzidenz-Grotesk Std Regular" w:cs="Arial"/>
              </w:rPr>
              <w:t>ne</w:t>
            </w:r>
            <w:r w:rsidR="00C6009E" w:rsidRPr="007E1647">
              <w:rPr>
                <w:rFonts w:ascii="Akzidenz-Grotesk Std Regular" w:hAnsi="Akzidenz-Grotesk Std Regular" w:cs="Arial"/>
              </w:rPr>
              <w:t xml:space="preserve"> 202</w:t>
            </w:r>
            <w:r w:rsidR="00EB28F5" w:rsidRPr="007E1647">
              <w:rPr>
                <w:rFonts w:ascii="Akzidenz-Grotesk Std Regular" w:hAnsi="Akzidenz-Grotesk Std Regular" w:cs="Arial"/>
              </w:rPr>
              <w:t>2</w:t>
            </w:r>
          </w:p>
        </w:tc>
      </w:tr>
      <w:tr w:rsidR="00C6009E" w:rsidRPr="007E1647" w14:paraId="0651C8D4" w14:textId="77777777" w:rsidTr="00C6009E">
        <w:tc>
          <w:tcPr>
            <w:tcW w:w="4759" w:type="dxa"/>
            <w:tcBorders>
              <w:top w:val="single" w:sz="4" w:space="0" w:color="auto"/>
              <w:left w:val="single" w:sz="4" w:space="0" w:color="auto"/>
              <w:bottom w:val="single" w:sz="4" w:space="0" w:color="auto"/>
              <w:right w:val="single" w:sz="4" w:space="0" w:color="auto"/>
            </w:tcBorders>
            <w:hideMark/>
          </w:tcPr>
          <w:p w14:paraId="54EA22A9" w14:textId="77777777"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 xml:space="preserve">Interviews </w:t>
            </w:r>
          </w:p>
        </w:tc>
        <w:tc>
          <w:tcPr>
            <w:tcW w:w="4257" w:type="dxa"/>
            <w:tcBorders>
              <w:top w:val="single" w:sz="4" w:space="0" w:color="auto"/>
              <w:left w:val="single" w:sz="4" w:space="0" w:color="auto"/>
              <w:bottom w:val="single" w:sz="4" w:space="0" w:color="auto"/>
              <w:right w:val="single" w:sz="4" w:space="0" w:color="auto"/>
            </w:tcBorders>
            <w:hideMark/>
          </w:tcPr>
          <w:p w14:paraId="35407EEB" w14:textId="4ABB1A2A" w:rsidR="00C6009E" w:rsidRPr="007E1647" w:rsidRDefault="0043678D" w:rsidP="00C6009E">
            <w:pPr>
              <w:jc w:val="both"/>
              <w:rPr>
                <w:rFonts w:ascii="Akzidenz-Grotesk Std Regular" w:hAnsi="Akzidenz-Grotesk Std Regular" w:cs="Arial"/>
              </w:rPr>
            </w:pPr>
            <w:r>
              <w:rPr>
                <w:rFonts w:ascii="Akzidenz-Grotesk Std Regular" w:hAnsi="Akzidenz-Grotesk Std Regular" w:cs="Arial"/>
              </w:rPr>
              <w:t>Early July</w:t>
            </w:r>
            <w:r w:rsidR="00C6009E" w:rsidRPr="007E1647">
              <w:rPr>
                <w:rFonts w:ascii="Akzidenz-Grotesk Std Regular" w:hAnsi="Akzidenz-Grotesk Std Regular" w:cs="Arial"/>
              </w:rPr>
              <w:t xml:space="preserve"> </w:t>
            </w:r>
          </w:p>
        </w:tc>
      </w:tr>
      <w:tr w:rsidR="00C6009E" w:rsidRPr="007E1647" w14:paraId="562E78B9" w14:textId="77777777" w:rsidTr="00C6009E">
        <w:tc>
          <w:tcPr>
            <w:tcW w:w="4759" w:type="dxa"/>
            <w:tcBorders>
              <w:top w:val="single" w:sz="4" w:space="0" w:color="auto"/>
              <w:left w:val="single" w:sz="4" w:space="0" w:color="auto"/>
              <w:bottom w:val="single" w:sz="4" w:space="0" w:color="auto"/>
              <w:right w:val="single" w:sz="4" w:space="0" w:color="auto"/>
            </w:tcBorders>
            <w:hideMark/>
          </w:tcPr>
          <w:p w14:paraId="0A921D20" w14:textId="77777777"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Appointment of Consultant</w:t>
            </w:r>
          </w:p>
        </w:tc>
        <w:tc>
          <w:tcPr>
            <w:tcW w:w="4257" w:type="dxa"/>
            <w:tcBorders>
              <w:top w:val="single" w:sz="4" w:space="0" w:color="auto"/>
              <w:left w:val="single" w:sz="4" w:space="0" w:color="auto"/>
              <w:bottom w:val="single" w:sz="4" w:space="0" w:color="auto"/>
              <w:right w:val="single" w:sz="4" w:space="0" w:color="auto"/>
            </w:tcBorders>
            <w:hideMark/>
          </w:tcPr>
          <w:p w14:paraId="2273F944" w14:textId="7E0F6694" w:rsidR="00C6009E" w:rsidRPr="007E1647" w:rsidRDefault="00EB28F5" w:rsidP="00C6009E">
            <w:pPr>
              <w:jc w:val="both"/>
              <w:rPr>
                <w:rFonts w:ascii="Akzidenz-Grotesk Std Regular" w:hAnsi="Akzidenz-Grotesk Std Regular" w:cs="Arial"/>
              </w:rPr>
            </w:pPr>
            <w:r w:rsidRPr="007E1647">
              <w:rPr>
                <w:rFonts w:ascii="Akzidenz-Grotesk Std Regular" w:hAnsi="Akzidenz-Grotesk Std Regular" w:cs="Arial"/>
              </w:rPr>
              <w:t>August</w:t>
            </w:r>
            <w:r w:rsidR="00EF5A13" w:rsidRPr="007E1647">
              <w:rPr>
                <w:rFonts w:ascii="Akzidenz-Grotesk Std Regular" w:hAnsi="Akzidenz-Grotesk Std Regular" w:cs="Arial"/>
              </w:rPr>
              <w:t xml:space="preserve"> 2022</w:t>
            </w:r>
            <w:r w:rsidR="00C6009E" w:rsidRPr="007E1647">
              <w:rPr>
                <w:rFonts w:ascii="Akzidenz-Grotesk Std Regular" w:hAnsi="Akzidenz-Grotesk Std Regular" w:cs="Arial"/>
              </w:rPr>
              <w:t xml:space="preserve"> </w:t>
            </w:r>
          </w:p>
        </w:tc>
      </w:tr>
      <w:tr w:rsidR="00C6009E" w:rsidRPr="007E1647" w14:paraId="502ACEDD" w14:textId="77777777" w:rsidTr="00EB28F5">
        <w:trPr>
          <w:trHeight w:val="295"/>
        </w:trPr>
        <w:tc>
          <w:tcPr>
            <w:tcW w:w="4759" w:type="dxa"/>
            <w:tcBorders>
              <w:top w:val="single" w:sz="4" w:space="0" w:color="auto"/>
              <w:left w:val="single" w:sz="4" w:space="0" w:color="auto"/>
              <w:bottom w:val="single" w:sz="4" w:space="0" w:color="auto"/>
              <w:right w:val="single" w:sz="4" w:space="0" w:color="auto"/>
            </w:tcBorders>
            <w:hideMark/>
          </w:tcPr>
          <w:p w14:paraId="4FDA34F0" w14:textId="77777777"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lastRenderedPageBreak/>
              <w:t>Set up (phase 1) complete</w:t>
            </w:r>
          </w:p>
        </w:tc>
        <w:tc>
          <w:tcPr>
            <w:tcW w:w="4257" w:type="dxa"/>
            <w:tcBorders>
              <w:top w:val="single" w:sz="4" w:space="0" w:color="auto"/>
              <w:left w:val="single" w:sz="4" w:space="0" w:color="auto"/>
              <w:bottom w:val="single" w:sz="4" w:space="0" w:color="auto"/>
              <w:right w:val="single" w:sz="4" w:space="0" w:color="auto"/>
            </w:tcBorders>
            <w:hideMark/>
          </w:tcPr>
          <w:p w14:paraId="012DABF7" w14:textId="7D92F9A9" w:rsidR="00C6009E" w:rsidRPr="007E1647" w:rsidRDefault="007E1647" w:rsidP="00C6009E">
            <w:pPr>
              <w:jc w:val="both"/>
              <w:rPr>
                <w:rFonts w:ascii="Akzidenz-Grotesk Std Regular" w:hAnsi="Akzidenz-Grotesk Std Regular" w:cs="Arial"/>
              </w:rPr>
            </w:pPr>
            <w:r w:rsidRPr="007E1647">
              <w:rPr>
                <w:rFonts w:ascii="Akzidenz-Grotesk Std Regular" w:hAnsi="Akzidenz-Grotesk Std Regular" w:cs="Arial"/>
              </w:rPr>
              <w:t>End</w:t>
            </w:r>
            <w:r w:rsidR="00C6009E" w:rsidRPr="007E1647">
              <w:rPr>
                <w:rFonts w:ascii="Akzidenz-Grotesk Std Regular" w:hAnsi="Akzidenz-Grotesk Std Regular" w:cs="Arial"/>
              </w:rPr>
              <w:t>-September 202</w:t>
            </w:r>
            <w:r w:rsidRPr="007E1647">
              <w:rPr>
                <w:rFonts w:ascii="Akzidenz-Grotesk Std Regular" w:hAnsi="Akzidenz-Grotesk Std Regular" w:cs="Arial"/>
              </w:rPr>
              <w:t>2</w:t>
            </w:r>
            <w:r w:rsidR="00C6009E" w:rsidRPr="007E1647">
              <w:rPr>
                <w:rFonts w:ascii="Akzidenz-Grotesk Std Regular" w:hAnsi="Akzidenz-Grotesk Std Regular" w:cs="Arial"/>
              </w:rPr>
              <w:t xml:space="preserve"> *</w:t>
            </w:r>
          </w:p>
        </w:tc>
      </w:tr>
      <w:tr w:rsidR="00C6009E" w:rsidRPr="007E1647" w14:paraId="2BC52BBE" w14:textId="77777777" w:rsidTr="00C6009E">
        <w:tc>
          <w:tcPr>
            <w:tcW w:w="4759" w:type="dxa"/>
            <w:tcBorders>
              <w:top w:val="single" w:sz="4" w:space="0" w:color="auto"/>
              <w:left w:val="single" w:sz="4" w:space="0" w:color="auto"/>
              <w:bottom w:val="single" w:sz="4" w:space="0" w:color="auto"/>
              <w:right w:val="single" w:sz="4" w:space="0" w:color="auto"/>
            </w:tcBorders>
            <w:hideMark/>
          </w:tcPr>
          <w:p w14:paraId="071F5A15" w14:textId="77777777"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 xml:space="preserve">Project End </w:t>
            </w:r>
          </w:p>
        </w:tc>
        <w:tc>
          <w:tcPr>
            <w:tcW w:w="4257" w:type="dxa"/>
            <w:tcBorders>
              <w:top w:val="single" w:sz="4" w:space="0" w:color="auto"/>
              <w:left w:val="single" w:sz="4" w:space="0" w:color="auto"/>
              <w:bottom w:val="single" w:sz="4" w:space="0" w:color="auto"/>
              <w:right w:val="single" w:sz="4" w:space="0" w:color="auto"/>
            </w:tcBorders>
            <w:hideMark/>
          </w:tcPr>
          <w:p w14:paraId="58CF8243" w14:textId="4F376E7B" w:rsidR="00C6009E" w:rsidRPr="007E1647" w:rsidRDefault="0043678D" w:rsidP="00C6009E">
            <w:pPr>
              <w:jc w:val="both"/>
              <w:rPr>
                <w:rFonts w:ascii="Akzidenz-Grotesk Std Regular" w:hAnsi="Akzidenz-Grotesk Std Regular" w:cs="Arial"/>
              </w:rPr>
            </w:pPr>
            <w:r>
              <w:rPr>
                <w:rFonts w:ascii="Akzidenz-Grotesk Std Regular" w:hAnsi="Akzidenz-Grotesk Std Regular" w:cs="Arial"/>
              </w:rPr>
              <w:t xml:space="preserve">February </w:t>
            </w:r>
            <w:r w:rsidR="00EB28F5" w:rsidRPr="007E1647">
              <w:rPr>
                <w:rFonts w:ascii="Akzidenz-Grotesk Std Regular" w:hAnsi="Akzidenz-Grotesk Std Regular" w:cs="Arial"/>
              </w:rPr>
              <w:t>2023</w:t>
            </w:r>
          </w:p>
        </w:tc>
      </w:tr>
      <w:tr w:rsidR="00C6009E" w:rsidRPr="007E1647" w14:paraId="0D797734" w14:textId="77777777" w:rsidTr="00C6009E">
        <w:tc>
          <w:tcPr>
            <w:tcW w:w="4759" w:type="dxa"/>
            <w:tcBorders>
              <w:top w:val="single" w:sz="4" w:space="0" w:color="auto"/>
              <w:left w:val="single" w:sz="4" w:space="0" w:color="auto"/>
              <w:bottom w:val="single" w:sz="4" w:space="0" w:color="auto"/>
              <w:right w:val="single" w:sz="4" w:space="0" w:color="auto"/>
            </w:tcBorders>
            <w:hideMark/>
          </w:tcPr>
          <w:p w14:paraId="462BE4FA" w14:textId="77777777"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Final Report due</w:t>
            </w:r>
          </w:p>
        </w:tc>
        <w:tc>
          <w:tcPr>
            <w:tcW w:w="4257" w:type="dxa"/>
            <w:tcBorders>
              <w:top w:val="single" w:sz="4" w:space="0" w:color="auto"/>
              <w:left w:val="single" w:sz="4" w:space="0" w:color="auto"/>
              <w:bottom w:val="single" w:sz="4" w:space="0" w:color="auto"/>
              <w:right w:val="single" w:sz="4" w:space="0" w:color="auto"/>
            </w:tcBorders>
            <w:hideMark/>
          </w:tcPr>
          <w:p w14:paraId="1CFC1334" w14:textId="699CCF77" w:rsidR="00C6009E" w:rsidRPr="007E1647" w:rsidRDefault="0043678D" w:rsidP="00C6009E">
            <w:pPr>
              <w:jc w:val="both"/>
              <w:rPr>
                <w:rFonts w:ascii="Akzidenz-Grotesk Std Regular" w:hAnsi="Akzidenz-Grotesk Std Regular" w:cs="Arial"/>
              </w:rPr>
            </w:pPr>
            <w:r>
              <w:rPr>
                <w:rFonts w:ascii="Akzidenz-Grotesk Std Regular" w:hAnsi="Akzidenz-Grotesk Std Regular" w:cs="Arial"/>
              </w:rPr>
              <w:t>January</w:t>
            </w:r>
            <w:r w:rsidR="00EB28F5" w:rsidRPr="007E1647">
              <w:rPr>
                <w:rFonts w:ascii="Akzidenz-Grotesk Std Regular" w:hAnsi="Akzidenz-Grotesk Std Regular" w:cs="Arial"/>
              </w:rPr>
              <w:t xml:space="preserve"> 2</w:t>
            </w:r>
            <w:bookmarkStart w:id="0" w:name="_GoBack"/>
            <w:bookmarkEnd w:id="0"/>
            <w:r w:rsidR="00EB28F5" w:rsidRPr="007E1647">
              <w:rPr>
                <w:rFonts w:ascii="Akzidenz-Grotesk Std Regular" w:hAnsi="Akzidenz-Grotesk Std Regular" w:cs="Arial"/>
              </w:rPr>
              <w:t>023</w:t>
            </w:r>
          </w:p>
        </w:tc>
      </w:tr>
    </w:tbl>
    <w:p w14:paraId="07DEBA0B" w14:textId="77777777" w:rsidR="00C6009E" w:rsidRPr="007E1647" w:rsidRDefault="00C6009E" w:rsidP="00C6009E">
      <w:pPr>
        <w:jc w:val="both"/>
        <w:rPr>
          <w:rFonts w:ascii="Akzidenz-Grotesk Std Regular" w:hAnsi="Akzidenz-Grotesk Std Regular" w:cs="Arial"/>
          <w:u w:val="single"/>
        </w:rPr>
      </w:pPr>
    </w:p>
    <w:p w14:paraId="0693FBA9" w14:textId="7EB34A74"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 xml:space="preserve">*dates are approximate only and will be decided </w:t>
      </w:r>
      <w:r w:rsidRPr="007E1647">
        <w:rPr>
          <w:rFonts w:ascii="Akzidenz-Grotesk Std Regular" w:hAnsi="Akzidenz-Grotesk Std Regular" w:cs="Arial"/>
        </w:rPr>
        <w:t>and agreed with the selected consultant</w:t>
      </w:r>
      <w:r w:rsidR="0040400E">
        <w:rPr>
          <w:rFonts w:ascii="Akzidenz-Grotesk Std Regular" w:hAnsi="Akzidenz-Grotesk Std Regular" w:cs="Arial"/>
        </w:rPr>
        <w:t>.</w:t>
      </w:r>
      <w:r w:rsidR="005A4EF3">
        <w:rPr>
          <w:rFonts w:ascii="Akzidenz-Grotesk Std Regular" w:hAnsi="Akzidenz-Grotesk Std Regular" w:cs="Arial"/>
        </w:rPr>
        <w:t xml:space="preserve"> </w:t>
      </w:r>
    </w:p>
    <w:p w14:paraId="762A36B1" w14:textId="77777777" w:rsidR="00C6009E" w:rsidRPr="007E1647" w:rsidRDefault="00C6009E" w:rsidP="00C6009E">
      <w:pPr>
        <w:jc w:val="both"/>
        <w:rPr>
          <w:rFonts w:ascii="Akzidenz-Grotesk Std Regular" w:hAnsi="Akzidenz-Grotesk Std Regular" w:cs="Arial"/>
          <w:u w:val="single"/>
        </w:rPr>
      </w:pPr>
      <w:r w:rsidRPr="007E1647">
        <w:rPr>
          <w:rFonts w:ascii="Akzidenz-Grotesk Std Regular" w:hAnsi="Akzidenz-Grotesk Std Regular" w:cs="Arial"/>
          <w:u w:val="single"/>
        </w:rPr>
        <w:t>Contact information</w:t>
      </w:r>
    </w:p>
    <w:p w14:paraId="4C811C43" w14:textId="172B447F" w:rsidR="00C6009E" w:rsidRPr="007E1647" w:rsidRDefault="00C6009E" w:rsidP="00C6009E">
      <w:pPr>
        <w:jc w:val="both"/>
        <w:rPr>
          <w:rFonts w:ascii="Akzidenz-Grotesk Std Regular" w:hAnsi="Akzidenz-Grotesk Std Regular" w:cs="Arial"/>
        </w:rPr>
      </w:pPr>
      <w:r w:rsidRPr="007E1647">
        <w:rPr>
          <w:rFonts w:ascii="Akzidenz-Grotesk Std Regular" w:hAnsi="Akzidenz-Grotesk Std Regular" w:cs="Arial"/>
        </w:rPr>
        <w:t xml:space="preserve">For questions, further information or a discussion about the evaluation, please </w:t>
      </w:r>
      <w:r w:rsidR="00C36755" w:rsidRPr="007E1647">
        <w:rPr>
          <w:rFonts w:ascii="Akzidenz-Grotesk Std Regular" w:hAnsi="Akzidenz-Grotesk Std Regular" w:cs="Arial"/>
        </w:rPr>
        <w:t xml:space="preserve">Laura McCartan on </w:t>
      </w:r>
      <w:hyperlink r:id="rId10" w:history="1">
        <w:r w:rsidR="00C36755" w:rsidRPr="007E1647">
          <w:rPr>
            <w:rStyle w:val="Hyperlink"/>
            <w:rFonts w:ascii="Akzidenz-Grotesk Std Regular" w:hAnsi="Akzidenz-Grotesk Std Regular" w:cs="Arial"/>
          </w:rPr>
          <w:t>laura.mc@mediadefence.org</w:t>
        </w:r>
      </w:hyperlink>
    </w:p>
    <w:p w14:paraId="4F7FC137" w14:textId="77777777" w:rsidR="00C36755" w:rsidRPr="007E1647" w:rsidRDefault="00C36755" w:rsidP="00C6009E">
      <w:pPr>
        <w:jc w:val="both"/>
        <w:rPr>
          <w:rFonts w:ascii="Akzidenz-Grotesk Std Med" w:hAnsi="Akzidenz-Grotesk Std Med" w:cs="Arial"/>
        </w:rPr>
      </w:pPr>
    </w:p>
    <w:p w14:paraId="102608D7" w14:textId="77777777" w:rsidR="00C6009E" w:rsidRPr="00C6009E" w:rsidRDefault="00C6009E" w:rsidP="00C6009E">
      <w:pPr>
        <w:jc w:val="both"/>
        <w:rPr>
          <w:rFonts w:ascii="Arial" w:hAnsi="Arial" w:cs="Arial"/>
        </w:rPr>
      </w:pPr>
    </w:p>
    <w:p w14:paraId="1E2DD30F" w14:textId="77777777" w:rsidR="00C6009E" w:rsidRPr="00C6009E" w:rsidRDefault="00C6009E" w:rsidP="00C6009E">
      <w:pPr>
        <w:jc w:val="both"/>
        <w:rPr>
          <w:rFonts w:ascii="Arial" w:hAnsi="Arial" w:cs="Arial"/>
        </w:rPr>
      </w:pPr>
    </w:p>
    <w:p w14:paraId="2062327E" w14:textId="77777777" w:rsidR="00C6009E" w:rsidRPr="00C6009E" w:rsidRDefault="00C6009E" w:rsidP="00C6009E">
      <w:pPr>
        <w:jc w:val="both"/>
        <w:rPr>
          <w:rFonts w:ascii="Arial" w:hAnsi="Arial" w:cs="Arial"/>
        </w:rPr>
      </w:pPr>
    </w:p>
    <w:sectPr w:rsidR="00C6009E" w:rsidRPr="00C6009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C7E6" w16cex:dateUtc="2022-04-29T18:24:00Z"/>
  <w16cex:commentExtensible w16cex:durableId="26156F7C" w16cex:dateUtc="2022-04-28T17:54:00Z"/>
  <w16cex:commentExtensible w16cex:durableId="2616C821" w16cex:dateUtc="2022-04-29T18:25:00Z"/>
  <w16cex:commentExtensible w16cex:durableId="2616C874" w16cex:dateUtc="2022-04-29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205D" w14:textId="77777777" w:rsidR="00E86A22" w:rsidRDefault="00E86A22" w:rsidP="00F32C47">
      <w:pPr>
        <w:spacing w:after="0" w:line="240" w:lineRule="auto"/>
      </w:pPr>
      <w:r>
        <w:separator/>
      </w:r>
    </w:p>
  </w:endnote>
  <w:endnote w:type="continuationSeparator" w:id="0">
    <w:p w14:paraId="16BBA921" w14:textId="77777777" w:rsidR="00E86A22" w:rsidRDefault="00E86A22" w:rsidP="00F3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kzidenz-Grotesk Std Super">
    <w:altName w:val="Calibri"/>
    <w:panose1 w:val="02000503050000020004"/>
    <w:charset w:val="4D"/>
    <w:family w:val="auto"/>
    <w:notTrueType/>
    <w:pitch w:val="variable"/>
    <w:sig w:usb0="8000002F" w:usb1="5000204A" w:usb2="00000000" w:usb3="00000000" w:csb0="00000001" w:csb1="00000000"/>
  </w:font>
  <w:font w:name="Akzidenz-Grotesk Std Regular">
    <w:altName w:val="Calibri"/>
    <w:panose1 w:val="02000503030000020003"/>
    <w:charset w:val="4D"/>
    <w:family w:val="auto"/>
    <w:notTrueType/>
    <w:pitch w:val="variable"/>
    <w:sig w:usb0="8000002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kzidenz-Grotesk Std Light">
    <w:altName w:val="Calibri"/>
    <w:panose1 w:val="02000506040000020003"/>
    <w:charset w:val="4D"/>
    <w:family w:val="auto"/>
    <w:notTrueType/>
    <w:pitch w:val="variable"/>
    <w:sig w:usb0="8000002F" w:usb1="5000204A" w:usb2="00000000" w:usb3="00000000" w:csb0="00000001" w:csb1="00000000"/>
  </w:font>
  <w:font w:name="Akzidenz-Grotesk Std Med">
    <w:altName w:val="Calibri"/>
    <w:panose1 w:val="02000603030000020004"/>
    <w:charset w:val="4D"/>
    <w:family w:val="auto"/>
    <w:notTrueType/>
    <w:pitch w:val="variable"/>
    <w:sig w:usb0="8000002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B190" w14:textId="77777777" w:rsidR="00E86A22" w:rsidRDefault="00E86A22" w:rsidP="00F32C47">
      <w:pPr>
        <w:spacing w:after="0" w:line="240" w:lineRule="auto"/>
      </w:pPr>
      <w:r>
        <w:separator/>
      </w:r>
    </w:p>
  </w:footnote>
  <w:footnote w:type="continuationSeparator" w:id="0">
    <w:p w14:paraId="52662E38" w14:textId="77777777" w:rsidR="00E86A22" w:rsidRDefault="00E86A22" w:rsidP="00F32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DE4"/>
    <w:multiLevelType w:val="hybridMultilevel"/>
    <w:tmpl w:val="D0F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10F8"/>
    <w:multiLevelType w:val="hybridMultilevel"/>
    <w:tmpl w:val="7E70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5D41"/>
    <w:multiLevelType w:val="hybridMultilevel"/>
    <w:tmpl w:val="1B666598"/>
    <w:lvl w:ilvl="0" w:tplc="E8161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7C0A"/>
    <w:multiLevelType w:val="hybridMultilevel"/>
    <w:tmpl w:val="A69AF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BE76E3"/>
    <w:multiLevelType w:val="hybridMultilevel"/>
    <w:tmpl w:val="563C9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400044"/>
    <w:multiLevelType w:val="hybridMultilevel"/>
    <w:tmpl w:val="C53AE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6B2BF5"/>
    <w:multiLevelType w:val="multilevel"/>
    <w:tmpl w:val="43D8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D2480"/>
    <w:multiLevelType w:val="hybridMultilevel"/>
    <w:tmpl w:val="10805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570DBE"/>
    <w:multiLevelType w:val="hybridMultilevel"/>
    <w:tmpl w:val="AD08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F347D"/>
    <w:multiLevelType w:val="hybridMultilevel"/>
    <w:tmpl w:val="D1AA0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A62CA1"/>
    <w:multiLevelType w:val="hybridMultilevel"/>
    <w:tmpl w:val="A80EC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363D3"/>
    <w:multiLevelType w:val="hybridMultilevel"/>
    <w:tmpl w:val="E70C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C7BE9"/>
    <w:multiLevelType w:val="hybridMultilevel"/>
    <w:tmpl w:val="8FE4CA12"/>
    <w:lvl w:ilvl="0" w:tplc="BB6459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792CBB"/>
    <w:multiLevelType w:val="hybridMultilevel"/>
    <w:tmpl w:val="9BA6A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6E44AB"/>
    <w:multiLevelType w:val="hybridMultilevel"/>
    <w:tmpl w:val="1096A3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F12985"/>
    <w:multiLevelType w:val="hybridMultilevel"/>
    <w:tmpl w:val="28E8ACDC"/>
    <w:lvl w:ilvl="0" w:tplc="206296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B5A1E"/>
    <w:multiLevelType w:val="hybridMultilevel"/>
    <w:tmpl w:val="EFEE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972D4"/>
    <w:multiLevelType w:val="hybridMultilevel"/>
    <w:tmpl w:val="061A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1211C"/>
    <w:multiLevelType w:val="hybridMultilevel"/>
    <w:tmpl w:val="CEBC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A0476"/>
    <w:multiLevelType w:val="hybridMultilevel"/>
    <w:tmpl w:val="C692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F086A"/>
    <w:multiLevelType w:val="hybridMultilevel"/>
    <w:tmpl w:val="F736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A7E65"/>
    <w:multiLevelType w:val="hybridMultilevel"/>
    <w:tmpl w:val="5E6CF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22190A"/>
    <w:multiLevelType w:val="hybridMultilevel"/>
    <w:tmpl w:val="85D0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85EBB"/>
    <w:multiLevelType w:val="hybridMultilevel"/>
    <w:tmpl w:val="827AE992"/>
    <w:lvl w:ilvl="0" w:tplc="CC9AB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7476D"/>
    <w:multiLevelType w:val="hybridMultilevel"/>
    <w:tmpl w:val="BA000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4A1FCA"/>
    <w:multiLevelType w:val="hybridMultilevel"/>
    <w:tmpl w:val="9A867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8F0E2D"/>
    <w:multiLevelType w:val="hybridMultilevel"/>
    <w:tmpl w:val="F6A4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1526A"/>
    <w:multiLevelType w:val="hybridMultilevel"/>
    <w:tmpl w:val="AEBCF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0D37C1"/>
    <w:multiLevelType w:val="hybridMultilevel"/>
    <w:tmpl w:val="3EF4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28"/>
  </w:num>
  <w:num w:numId="5">
    <w:abstractNumId w:val="26"/>
  </w:num>
  <w:num w:numId="6">
    <w:abstractNumId w:val="27"/>
  </w:num>
  <w:num w:numId="7">
    <w:abstractNumId w:val="12"/>
  </w:num>
  <w:num w:numId="8">
    <w:abstractNumId w:val="22"/>
  </w:num>
  <w:num w:numId="9">
    <w:abstractNumId w:val="14"/>
  </w:num>
  <w:num w:numId="10">
    <w:abstractNumId w:val="2"/>
  </w:num>
  <w:num w:numId="11">
    <w:abstractNumId w:val="18"/>
  </w:num>
  <w:num w:numId="12">
    <w:abstractNumId w:val="5"/>
  </w:num>
  <w:num w:numId="13">
    <w:abstractNumId w:val="4"/>
  </w:num>
  <w:num w:numId="14">
    <w:abstractNumId w:val="13"/>
  </w:num>
  <w:num w:numId="15">
    <w:abstractNumId w:val="0"/>
  </w:num>
  <w:num w:numId="16">
    <w:abstractNumId w:val="10"/>
  </w:num>
  <w:num w:numId="17">
    <w:abstractNumId w:val="8"/>
  </w:num>
  <w:num w:numId="18">
    <w:abstractNumId w:val="1"/>
  </w:num>
  <w:num w:numId="19">
    <w:abstractNumId w:val="16"/>
  </w:num>
  <w:num w:numId="20">
    <w:abstractNumId w:val="17"/>
  </w:num>
  <w:num w:numId="21">
    <w:abstractNumId w:val="6"/>
  </w:num>
  <w:num w:numId="22">
    <w:abstractNumId w:val="8"/>
  </w:num>
  <w:num w:numId="23">
    <w:abstractNumId w:val="1"/>
  </w:num>
  <w:num w:numId="24">
    <w:abstractNumId w:val="16"/>
  </w:num>
  <w:num w:numId="25">
    <w:abstractNumId w:val="25"/>
  </w:num>
  <w:num w:numId="26">
    <w:abstractNumId w:val="24"/>
  </w:num>
  <w:num w:numId="27">
    <w:abstractNumId w:val="3"/>
  </w:num>
  <w:num w:numId="28">
    <w:abstractNumId w:val="9"/>
  </w:num>
  <w:num w:numId="29">
    <w:abstractNumId w:val="7"/>
  </w:num>
  <w:num w:numId="30">
    <w:abstractNumId w:val="20"/>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47"/>
    <w:rsid w:val="0000361F"/>
    <w:rsid w:val="00027E12"/>
    <w:rsid w:val="00035138"/>
    <w:rsid w:val="00050CC3"/>
    <w:rsid w:val="000531DB"/>
    <w:rsid w:val="00063A78"/>
    <w:rsid w:val="000652BF"/>
    <w:rsid w:val="000670A7"/>
    <w:rsid w:val="000709F1"/>
    <w:rsid w:val="00085F57"/>
    <w:rsid w:val="000952F5"/>
    <w:rsid w:val="000D7235"/>
    <w:rsid w:val="000E633E"/>
    <w:rsid w:val="001062D9"/>
    <w:rsid w:val="001110B0"/>
    <w:rsid w:val="00146E7F"/>
    <w:rsid w:val="00154DED"/>
    <w:rsid w:val="001608B2"/>
    <w:rsid w:val="0017005A"/>
    <w:rsid w:val="001715DF"/>
    <w:rsid w:val="00187424"/>
    <w:rsid w:val="0019280F"/>
    <w:rsid w:val="001A4079"/>
    <w:rsid w:val="001A5F51"/>
    <w:rsid w:val="001B64EB"/>
    <w:rsid w:val="001D4D1A"/>
    <w:rsid w:val="001E2C54"/>
    <w:rsid w:val="001F2941"/>
    <w:rsid w:val="001F4236"/>
    <w:rsid w:val="001F5607"/>
    <w:rsid w:val="001F64EC"/>
    <w:rsid w:val="00201E12"/>
    <w:rsid w:val="00211EA7"/>
    <w:rsid w:val="002305D1"/>
    <w:rsid w:val="002331E2"/>
    <w:rsid w:val="00243866"/>
    <w:rsid w:val="00255780"/>
    <w:rsid w:val="00281641"/>
    <w:rsid w:val="00284278"/>
    <w:rsid w:val="0028709D"/>
    <w:rsid w:val="002900CF"/>
    <w:rsid w:val="002A4ED7"/>
    <w:rsid w:val="002C54F6"/>
    <w:rsid w:val="002E7120"/>
    <w:rsid w:val="002E7F7F"/>
    <w:rsid w:val="002F4EDF"/>
    <w:rsid w:val="0031173E"/>
    <w:rsid w:val="0031217D"/>
    <w:rsid w:val="003161BC"/>
    <w:rsid w:val="003248E2"/>
    <w:rsid w:val="003307D2"/>
    <w:rsid w:val="00335FFF"/>
    <w:rsid w:val="00343285"/>
    <w:rsid w:val="00347D98"/>
    <w:rsid w:val="00350FB8"/>
    <w:rsid w:val="003511B8"/>
    <w:rsid w:val="00360F63"/>
    <w:rsid w:val="003643DD"/>
    <w:rsid w:val="00365C92"/>
    <w:rsid w:val="0036712F"/>
    <w:rsid w:val="00393B93"/>
    <w:rsid w:val="003A1C00"/>
    <w:rsid w:val="003A5519"/>
    <w:rsid w:val="003B14F3"/>
    <w:rsid w:val="003B5D93"/>
    <w:rsid w:val="003B7F8D"/>
    <w:rsid w:val="003C5C5B"/>
    <w:rsid w:val="003E253B"/>
    <w:rsid w:val="003E3142"/>
    <w:rsid w:val="0040400E"/>
    <w:rsid w:val="004063C5"/>
    <w:rsid w:val="00435A5B"/>
    <w:rsid w:val="0043678D"/>
    <w:rsid w:val="004378F8"/>
    <w:rsid w:val="0045454A"/>
    <w:rsid w:val="0049167D"/>
    <w:rsid w:val="004D0862"/>
    <w:rsid w:val="004E18EE"/>
    <w:rsid w:val="004F645E"/>
    <w:rsid w:val="00510945"/>
    <w:rsid w:val="00512557"/>
    <w:rsid w:val="0051695F"/>
    <w:rsid w:val="00526372"/>
    <w:rsid w:val="00531DC1"/>
    <w:rsid w:val="00543FCC"/>
    <w:rsid w:val="005459B1"/>
    <w:rsid w:val="0055714D"/>
    <w:rsid w:val="005702D6"/>
    <w:rsid w:val="00585B86"/>
    <w:rsid w:val="005A2C92"/>
    <w:rsid w:val="005A4EF3"/>
    <w:rsid w:val="005B0AE0"/>
    <w:rsid w:val="005B5ABB"/>
    <w:rsid w:val="005C08FD"/>
    <w:rsid w:val="005D2B42"/>
    <w:rsid w:val="005E3014"/>
    <w:rsid w:val="005F15DA"/>
    <w:rsid w:val="005F584E"/>
    <w:rsid w:val="005F6BD8"/>
    <w:rsid w:val="00604BFD"/>
    <w:rsid w:val="0061310D"/>
    <w:rsid w:val="006152FC"/>
    <w:rsid w:val="00620814"/>
    <w:rsid w:val="00627A52"/>
    <w:rsid w:val="00627A8F"/>
    <w:rsid w:val="00634E0C"/>
    <w:rsid w:val="00635007"/>
    <w:rsid w:val="0063609D"/>
    <w:rsid w:val="0063790E"/>
    <w:rsid w:val="00644934"/>
    <w:rsid w:val="00645E4D"/>
    <w:rsid w:val="006542D6"/>
    <w:rsid w:val="00664C76"/>
    <w:rsid w:val="00672D11"/>
    <w:rsid w:val="00676503"/>
    <w:rsid w:val="00697A35"/>
    <w:rsid w:val="006A21C7"/>
    <w:rsid w:val="006B0305"/>
    <w:rsid w:val="006C1D33"/>
    <w:rsid w:val="006C67E6"/>
    <w:rsid w:val="006D39ED"/>
    <w:rsid w:val="006D4096"/>
    <w:rsid w:val="006F023B"/>
    <w:rsid w:val="00702C96"/>
    <w:rsid w:val="00716D0E"/>
    <w:rsid w:val="00725B74"/>
    <w:rsid w:val="00734B9E"/>
    <w:rsid w:val="007376AE"/>
    <w:rsid w:val="00754F5D"/>
    <w:rsid w:val="007849BD"/>
    <w:rsid w:val="00794920"/>
    <w:rsid w:val="00796A17"/>
    <w:rsid w:val="007A28E2"/>
    <w:rsid w:val="007B428C"/>
    <w:rsid w:val="007B5E3A"/>
    <w:rsid w:val="007C3FE6"/>
    <w:rsid w:val="007C7176"/>
    <w:rsid w:val="007D084D"/>
    <w:rsid w:val="007E1647"/>
    <w:rsid w:val="007E5BF5"/>
    <w:rsid w:val="007F0EF8"/>
    <w:rsid w:val="007F3A84"/>
    <w:rsid w:val="00815FBC"/>
    <w:rsid w:val="0082189B"/>
    <w:rsid w:val="00825AC7"/>
    <w:rsid w:val="0085618A"/>
    <w:rsid w:val="00874919"/>
    <w:rsid w:val="00875EFC"/>
    <w:rsid w:val="00875FB5"/>
    <w:rsid w:val="0088303F"/>
    <w:rsid w:val="008844F2"/>
    <w:rsid w:val="00884E2E"/>
    <w:rsid w:val="008A00F3"/>
    <w:rsid w:val="008A040D"/>
    <w:rsid w:val="008B0391"/>
    <w:rsid w:val="008B1AEC"/>
    <w:rsid w:val="008B258F"/>
    <w:rsid w:val="008B46D1"/>
    <w:rsid w:val="008B4CBD"/>
    <w:rsid w:val="008E41D2"/>
    <w:rsid w:val="008F01ED"/>
    <w:rsid w:val="008F5C09"/>
    <w:rsid w:val="008F70F2"/>
    <w:rsid w:val="0090346C"/>
    <w:rsid w:val="00907CAE"/>
    <w:rsid w:val="00913BFD"/>
    <w:rsid w:val="0091510D"/>
    <w:rsid w:val="009163C9"/>
    <w:rsid w:val="009177D1"/>
    <w:rsid w:val="00936480"/>
    <w:rsid w:val="0094066E"/>
    <w:rsid w:val="00941BFF"/>
    <w:rsid w:val="00953556"/>
    <w:rsid w:val="00962183"/>
    <w:rsid w:val="0097037C"/>
    <w:rsid w:val="009839CF"/>
    <w:rsid w:val="009B0F74"/>
    <w:rsid w:val="009B5CE9"/>
    <w:rsid w:val="009B5EF3"/>
    <w:rsid w:val="009C0A2B"/>
    <w:rsid w:val="009C11A3"/>
    <w:rsid w:val="009C4AC5"/>
    <w:rsid w:val="009E75E1"/>
    <w:rsid w:val="00A0018B"/>
    <w:rsid w:val="00A00396"/>
    <w:rsid w:val="00A00754"/>
    <w:rsid w:val="00A23134"/>
    <w:rsid w:val="00A27377"/>
    <w:rsid w:val="00A34345"/>
    <w:rsid w:val="00A53189"/>
    <w:rsid w:val="00A715A1"/>
    <w:rsid w:val="00A71E11"/>
    <w:rsid w:val="00A80163"/>
    <w:rsid w:val="00A83C96"/>
    <w:rsid w:val="00A95FB8"/>
    <w:rsid w:val="00AA023E"/>
    <w:rsid w:val="00AC2E78"/>
    <w:rsid w:val="00AC719B"/>
    <w:rsid w:val="00AD247B"/>
    <w:rsid w:val="00AD650C"/>
    <w:rsid w:val="00AE2598"/>
    <w:rsid w:val="00AE33AD"/>
    <w:rsid w:val="00AE3A7E"/>
    <w:rsid w:val="00B021FB"/>
    <w:rsid w:val="00B06848"/>
    <w:rsid w:val="00B1323B"/>
    <w:rsid w:val="00B23AE5"/>
    <w:rsid w:val="00B44FC4"/>
    <w:rsid w:val="00B47DBE"/>
    <w:rsid w:val="00B72171"/>
    <w:rsid w:val="00B74697"/>
    <w:rsid w:val="00B810CD"/>
    <w:rsid w:val="00BA63E4"/>
    <w:rsid w:val="00BB2433"/>
    <w:rsid w:val="00BB37E4"/>
    <w:rsid w:val="00BB5131"/>
    <w:rsid w:val="00BB7E1E"/>
    <w:rsid w:val="00BC34A2"/>
    <w:rsid w:val="00BC443C"/>
    <w:rsid w:val="00BD24BF"/>
    <w:rsid w:val="00BE59EE"/>
    <w:rsid w:val="00BE5A32"/>
    <w:rsid w:val="00BF2FF1"/>
    <w:rsid w:val="00BF52D3"/>
    <w:rsid w:val="00BF636C"/>
    <w:rsid w:val="00C01929"/>
    <w:rsid w:val="00C11B8A"/>
    <w:rsid w:val="00C14D5F"/>
    <w:rsid w:val="00C2643B"/>
    <w:rsid w:val="00C30891"/>
    <w:rsid w:val="00C36755"/>
    <w:rsid w:val="00C43E78"/>
    <w:rsid w:val="00C45E4F"/>
    <w:rsid w:val="00C56A40"/>
    <w:rsid w:val="00C6009E"/>
    <w:rsid w:val="00C64BC6"/>
    <w:rsid w:val="00C850FD"/>
    <w:rsid w:val="00C878C2"/>
    <w:rsid w:val="00CA2440"/>
    <w:rsid w:val="00CA5EB4"/>
    <w:rsid w:val="00CD0DE2"/>
    <w:rsid w:val="00CD5D2E"/>
    <w:rsid w:val="00CD6024"/>
    <w:rsid w:val="00D038E7"/>
    <w:rsid w:val="00D04409"/>
    <w:rsid w:val="00D153B7"/>
    <w:rsid w:val="00D30350"/>
    <w:rsid w:val="00D30772"/>
    <w:rsid w:val="00D30A59"/>
    <w:rsid w:val="00D353E6"/>
    <w:rsid w:val="00D404DC"/>
    <w:rsid w:val="00D443F3"/>
    <w:rsid w:val="00D450CC"/>
    <w:rsid w:val="00D50834"/>
    <w:rsid w:val="00D52C90"/>
    <w:rsid w:val="00D542F0"/>
    <w:rsid w:val="00D674BC"/>
    <w:rsid w:val="00D72370"/>
    <w:rsid w:val="00D73355"/>
    <w:rsid w:val="00D95273"/>
    <w:rsid w:val="00DA78C5"/>
    <w:rsid w:val="00DD273D"/>
    <w:rsid w:val="00DE3931"/>
    <w:rsid w:val="00DF25D1"/>
    <w:rsid w:val="00E11980"/>
    <w:rsid w:val="00E13E2B"/>
    <w:rsid w:val="00E45B92"/>
    <w:rsid w:val="00E53F94"/>
    <w:rsid w:val="00E575FC"/>
    <w:rsid w:val="00E61A8D"/>
    <w:rsid w:val="00E70BC9"/>
    <w:rsid w:val="00E72077"/>
    <w:rsid w:val="00E80792"/>
    <w:rsid w:val="00E82856"/>
    <w:rsid w:val="00E82F2B"/>
    <w:rsid w:val="00E86A22"/>
    <w:rsid w:val="00EB28F5"/>
    <w:rsid w:val="00EC1043"/>
    <w:rsid w:val="00EC4CE5"/>
    <w:rsid w:val="00EE0AB1"/>
    <w:rsid w:val="00EE6416"/>
    <w:rsid w:val="00EF4FB6"/>
    <w:rsid w:val="00EF5A13"/>
    <w:rsid w:val="00EF5FB6"/>
    <w:rsid w:val="00F00B03"/>
    <w:rsid w:val="00F00EE3"/>
    <w:rsid w:val="00F12B31"/>
    <w:rsid w:val="00F12E66"/>
    <w:rsid w:val="00F23E36"/>
    <w:rsid w:val="00F32C47"/>
    <w:rsid w:val="00F70D0B"/>
    <w:rsid w:val="00F745AF"/>
    <w:rsid w:val="00F85059"/>
    <w:rsid w:val="00F9582E"/>
    <w:rsid w:val="00FB0A88"/>
    <w:rsid w:val="00FB0EB3"/>
    <w:rsid w:val="00FB16F0"/>
    <w:rsid w:val="00FB5148"/>
    <w:rsid w:val="00FB56C3"/>
    <w:rsid w:val="00FC64B3"/>
    <w:rsid w:val="00FC7AA8"/>
    <w:rsid w:val="00FD12D3"/>
    <w:rsid w:val="00FE0C38"/>
    <w:rsid w:val="00FE29CE"/>
    <w:rsid w:val="00FF7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4227"/>
  <w15:chartTrackingRefBased/>
  <w15:docId w15:val="{6E04CE90-E9F2-47C4-8DFC-F8B62901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A8D"/>
  </w:style>
  <w:style w:type="paragraph" w:styleId="Heading1">
    <w:name w:val="heading 1"/>
    <w:basedOn w:val="Normal"/>
    <w:next w:val="Normal"/>
    <w:link w:val="Heading1Char"/>
    <w:uiPriority w:val="9"/>
    <w:qFormat/>
    <w:rsid w:val="00F32C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C47"/>
  </w:style>
  <w:style w:type="paragraph" w:styleId="Footer">
    <w:name w:val="footer"/>
    <w:basedOn w:val="Normal"/>
    <w:link w:val="FooterChar"/>
    <w:uiPriority w:val="99"/>
    <w:unhideWhenUsed/>
    <w:rsid w:val="00F32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C47"/>
  </w:style>
  <w:style w:type="character" w:customStyle="1" w:styleId="Heading1Char">
    <w:name w:val="Heading 1 Char"/>
    <w:basedOn w:val="DefaultParagraphFont"/>
    <w:link w:val="Heading1"/>
    <w:uiPriority w:val="9"/>
    <w:rsid w:val="00F32C4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32C47"/>
    <w:pPr>
      <w:spacing w:after="0" w:line="240" w:lineRule="auto"/>
    </w:pPr>
  </w:style>
  <w:style w:type="character" w:styleId="Hyperlink">
    <w:name w:val="Hyperlink"/>
    <w:basedOn w:val="DefaultParagraphFont"/>
    <w:uiPriority w:val="99"/>
    <w:unhideWhenUsed/>
    <w:rsid w:val="006C1D33"/>
    <w:rPr>
      <w:color w:val="0563C1" w:themeColor="hyperlink"/>
      <w:u w:val="single"/>
    </w:rPr>
  </w:style>
  <w:style w:type="character" w:styleId="FollowedHyperlink">
    <w:name w:val="FollowedHyperlink"/>
    <w:basedOn w:val="DefaultParagraphFont"/>
    <w:uiPriority w:val="99"/>
    <w:semiHidden/>
    <w:unhideWhenUsed/>
    <w:rsid w:val="00D72370"/>
    <w:rPr>
      <w:color w:val="954F72" w:themeColor="followedHyperlink"/>
      <w:u w:val="single"/>
    </w:rPr>
  </w:style>
  <w:style w:type="paragraph" w:styleId="ListParagraph">
    <w:name w:val="List Paragraph"/>
    <w:basedOn w:val="Normal"/>
    <w:uiPriority w:val="34"/>
    <w:qFormat/>
    <w:rsid w:val="000652BF"/>
    <w:pPr>
      <w:ind w:left="720"/>
      <w:contextualSpacing/>
    </w:pPr>
  </w:style>
  <w:style w:type="character" w:styleId="CommentReference">
    <w:name w:val="annotation reference"/>
    <w:basedOn w:val="DefaultParagraphFont"/>
    <w:uiPriority w:val="99"/>
    <w:semiHidden/>
    <w:unhideWhenUsed/>
    <w:rsid w:val="00702C96"/>
    <w:rPr>
      <w:sz w:val="16"/>
      <w:szCs w:val="16"/>
    </w:rPr>
  </w:style>
  <w:style w:type="paragraph" w:styleId="CommentText">
    <w:name w:val="annotation text"/>
    <w:basedOn w:val="Normal"/>
    <w:link w:val="CommentTextChar"/>
    <w:uiPriority w:val="99"/>
    <w:semiHidden/>
    <w:unhideWhenUsed/>
    <w:rsid w:val="00702C96"/>
    <w:pPr>
      <w:spacing w:line="240" w:lineRule="auto"/>
    </w:pPr>
    <w:rPr>
      <w:sz w:val="20"/>
      <w:szCs w:val="20"/>
    </w:rPr>
  </w:style>
  <w:style w:type="character" w:customStyle="1" w:styleId="CommentTextChar">
    <w:name w:val="Comment Text Char"/>
    <w:basedOn w:val="DefaultParagraphFont"/>
    <w:link w:val="CommentText"/>
    <w:uiPriority w:val="99"/>
    <w:semiHidden/>
    <w:rsid w:val="00702C96"/>
    <w:rPr>
      <w:sz w:val="20"/>
      <w:szCs w:val="20"/>
    </w:rPr>
  </w:style>
  <w:style w:type="paragraph" w:styleId="CommentSubject">
    <w:name w:val="annotation subject"/>
    <w:basedOn w:val="CommentText"/>
    <w:next w:val="CommentText"/>
    <w:link w:val="CommentSubjectChar"/>
    <w:uiPriority w:val="99"/>
    <w:semiHidden/>
    <w:unhideWhenUsed/>
    <w:rsid w:val="00702C96"/>
    <w:rPr>
      <w:b/>
      <w:bCs/>
    </w:rPr>
  </w:style>
  <w:style w:type="character" w:customStyle="1" w:styleId="CommentSubjectChar">
    <w:name w:val="Comment Subject Char"/>
    <w:basedOn w:val="CommentTextChar"/>
    <w:link w:val="CommentSubject"/>
    <w:uiPriority w:val="99"/>
    <w:semiHidden/>
    <w:rsid w:val="00702C96"/>
    <w:rPr>
      <w:b/>
      <w:bCs/>
      <w:sz w:val="20"/>
      <w:szCs w:val="20"/>
    </w:rPr>
  </w:style>
  <w:style w:type="paragraph" w:styleId="BalloonText">
    <w:name w:val="Balloon Text"/>
    <w:basedOn w:val="Normal"/>
    <w:link w:val="BalloonTextChar"/>
    <w:uiPriority w:val="99"/>
    <w:semiHidden/>
    <w:unhideWhenUsed/>
    <w:rsid w:val="0070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96"/>
    <w:rPr>
      <w:rFonts w:ascii="Segoe UI" w:hAnsi="Segoe UI" w:cs="Segoe UI"/>
      <w:sz w:val="18"/>
      <w:szCs w:val="18"/>
    </w:rPr>
  </w:style>
  <w:style w:type="paragraph" w:customStyle="1" w:styleId="Normal1">
    <w:name w:val="Normal1"/>
    <w:rsid w:val="00C6009E"/>
    <w:rPr>
      <w:rFonts w:ascii="Calibri" w:eastAsia="Calibri" w:hAnsi="Calibri" w:cs="Calibri"/>
      <w:color w:val="000000"/>
    </w:rPr>
  </w:style>
  <w:style w:type="table" w:styleId="TableGrid">
    <w:name w:val="Table Grid"/>
    <w:basedOn w:val="TableNormal"/>
    <w:uiPriority w:val="39"/>
    <w:rsid w:val="00C600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6755"/>
    <w:rPr>
      <w:color w:val="605E5C"/>
      <w:shd w:val="clear" w:color="auto" w:fill="E1DFDD"/>
    </w:rPr>
  </w:style>
  <w:style w:type="paragraph" w:styleId="NormalWeb">
    <w:name w:val="Normal (Web)"/>
    <w:basedOn w:val="Normal"/>
    <w:uiPriority w:val="99"/>
    <w:semiHidden/>
    <w:unhideWhenUsed/>
    <w:rsid w:val="004378F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A4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EF3"/>
    <w:rPr>
      <w:sz w:val="20"/>
      <w:szCs w:val="20"/>
    </w:rPr>
  </w:style>
  <w:style w:type="character" w:styleId="FootnoteReference">
    <w:name w:val="footnote reference"/>
    <w:basedOn w:val="DefaultParagraphFont"/>
    <w:uiPriority w:val="99"/>
    <w:semiHidden/>
    <w:unhideWhenUsed/>
    <w:rsid w:val="005A4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5450">
      <w:bodyDiv w:val="1"/>
      <w:marLeft w:val="0"/>
      <w:marRight w:val="0"/>
      <w:marTop w:val="0"/>
      <w:marBottom w:val="0"/>
      <w:divBdr>
        <w:top w:val="none" w:sz="0" w:space="0" w:color="auto"/>
        <w:left w:val="none" w:sz="0" w:space="0" w:color="auto"/>
        <w:bottom w:val="none" w:sz="0" w:space="0" w:color="auto"/>
        <w:right w:val="none" w:sz="0" w:space="0" w:color="auto"/>
      </w:divBdr>
    </w:div>
    <w:div w:id="582180789">
      <w:bodyDiv w:val="1"/>
      <w:marLeft w:val="0"/>
      <w:marRight w:val="0"/>
      <w:marTop w:val="0"/>
      <w:marBottom w:val="0"/>
      <w:divBdr>
        <w:top w:val="none" w:sz="0" w:space="0" w:color="auto"/>
        <w:left w:val="none" w:sz="0" w:space="0" w:color="auto"/>
        <w:bottom w:val="none" w:sz="0" w:space="0" w:color="auto"/>
        <w:right w:val="none" w:sz="0" w:space="0" w:color="auto"/>
      </w:divBdr>
    </w:div>
    <w:div w:id="607354672">
      <w:bodyDiv w:val="1"/>
      <w:marLeft w:val="0"/>
      <w:marRight w:val="0"/>
      <w:marTop w:val="0"/>
      <w:marBottom w:val="0"/>
      <w:divBdr>
        <w:top w:val="none" w:sz="0" w:space="0" w:color="auto"/>
        <w:left w:val="none" w:sz="0" w:space="0" w:color="auto"/>
        <w:bottom w:val="none" w:sz="0" w:space="0" w:color="auto"/>
        <w:right w:val="none" w:sz="0" w:space="0" w:color="auto"/>
      </w:divBdr>
      <w:divsChild>
        <w:div w:id="1782336511">
          <w:marLeft w:val="0"/>
          <w:marRight w:val="0"/>
          <w:marTop w:val="0"/>
          <w:marBottom w:val="0"/>
          <w:divBdr>
            <w:top w:val="none" w:sz="0" w:space="0" w:color="auto"/>
            <w:left w:val="none" w:sz="0" w:space="0" w:color="auto"/>
            <w:bottom w:val="none" w:sz="0" w:space="0" w:color="auto"/>
            <w:right w:val="none" w:sz="0" w:space="0" w:color="auto"/>
          </w:divBdr>
          <w:divsChild>
            <w:div w:id="1981497942">
              <w:marLeft w:val="0"/>
              <w:marRight w:val="0"/>
              <w:marTop w:val="0"/>
              <w:marBottom w:val="0"/>
              <w:divBdr>
                <w:top w:val="none" w:sz="0" w:space="0" w:color="auto"/>
                <w:left w:val="none" w:sz="0" w:space="0" w:color="auto"/>
                <w:bottom w:val="none" w:sz="0" w:space="0" w:color="auto"/>
                <w:right w:val="none" w:sz="0" w:space="0" w:color="auto"/>
              </w:divBdr>
              <w:divsChild>
                <w:div w:id="8965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3450">
      <w:bodyDiv w:val="1"/>
      <w:marLeft w:val="0"/>
      <w:marRight w:val="0"/>
      <w:marTop w:val="0"/>
      <w:marBottom w:val="0"/>
      <w:divBdr>
        <w:top w:val="none" w:sz="0" w:space="0" w:color="auto"/>
        <w:left w:val="none" w:sz="0" w:space="0" w:color="auto"/>
        <w:bottom w:val="none" w:sz="0" w:space="0" w:color="auto"/>
        <w:right w:val="none" w:sz="0" w:space="0" w:color="auto"/>
      </w:divBdr>
      <w:divsChild>
        <w:div w:id="1195575291">
          <w:marLeft w:val="0"/>
          <w:marRight w:val="0"/>
          <w:marTop w:val="0"/>
          <w:marBottom w:val="0"/>
          <w:divBdr>
            <w:top w:val="none" w:sz="0" w:space="0" w:color="auto"/>
            <w:left w:val="none" w:sz="0" w:space="0" w:color="auto"/>
            <w:bottom w:val="none" w:sz="0" w:space="0" w:color="auto"/>
            <w:right w:val="none" w:sz="0" w:space="0" w:color="auto"/>
          </w:divBdr>
          <w:divsChild>
            <w:div w:id="1332486959">
              <w:marLeft w:val="0"/>
              <w:marRight w:val="0"/>
              <w:marTop w:val="0"/>
              <w:marBottom w:val="0"/>
              <w:divBdr>
                <w:top w:val="none" w:sz="0" w:space="0" w:color="auto"/>
                <w:left w:val="none" w:sz="0" w:space="0" w:color="auto"/>
                <w:bottom w:val="none" w:sz="0" w:space="0" w:color="auto"/>
                <w:right w:val="none" w:sz="0" w:space="0" w:color="auto"/>
              </w:divBdr>
              <w:divsChild>
                <w:div w:id="14381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8133">
      <w:bodyDiv w:val="1"/>
      <w:marLeft w:val="0"/>
      <w:marRight w:val="0"/>
      <w:marTop w:val="0"/>
      <w:marBottom w:val="0"/>
      <w:divBdr>
        <w:top w:val="none" w:sz="0" w:space="0" w:color="auto"/>
        <w:left w:val="none" w:sz="0" w:space="0" w:color="auto"/>
        <w:bottom w:val="none" w:sz="0" w:space="0" w:color="auto"/>
        <w:right w:val="none" w:sz="0" w:space="0" w:color="auto"/>
      </w:divBdr>
    </w:div>
    <w:div w:id="19767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ura.mc@mediadefence.org" TargetMode="External"/><Relationship Id="rId4" Type="http://schemas.openxmlformats.org/officeDocument/2006/relationships/settings" Target="settings.xml"/><Relationship Id="rId9" Type="http://schemas.openxmlformats.org/officeDocument/2006/relationships/hyperlink" Target="mailto:laura.mc@mediadef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0B80-CA00-4040-AD84-FF727183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Banks</dc:creator>
  <cp:keywords/>
  <dc:description/>
  <cp:lastModifiedBy>Laura McCartan</cp:lastModifiedBy>
  <cp:revision>4</cp:revision>
  <cp:lastPrinted>2020-06-05T12:04:00Z</cp:lastPrinted>
  <dcterms:created xsi:type="dcterms:W3CDTF">2022-04-28T17:47:00Z</dcterms:created>
  <dcterms:modified xsi:type="dcterms:W3CDTF">2022-05-03T11:47:00Z</dcterms:modified>
</cp:coreProperties>
</file>